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6D3" w:rsidRPr="00750726" w:rsidRDefault="00750726" w:rsidP="00750726">
      <w:pPr>
        <w:rPr>
          <w:rFonts w:ascii="Arial" w:hAnsi="Arial" w:cs="Arial"/>
          <w:sz w:val="24"/>
        </w:rPr>
      </w:pPr>
      <w:r w:rsidRPr="00750726">
        <w:rPr>
          <w:rFonts w:ascii="Arial" w:hAnsi="Arial" w:cs="Arial"/>
          <w:sz w:val="24"/>
        </w:rPr>
        <w:t xml:space="preserve">La </w:t>
      </w:r>
      <w:r>
        <w:rPr>
          <w:rFonts w:ascii="Arial" w:hAnsi="Arial" w:cs="Arial"/>
          <w:sz w:val="24"/>
        </w:rPr>
        <w:t>v</w:t>
      </w:r>
      <w:r w:rsidRPr="00750726">
        <w:rPr>
          <w:rFonts w:ascii="Arial" w:hAnsi="Arial" w:cs="Arial"/>
          <w:sz w:val="24"/>
        </w:rPr>
        <w:t xml:space="preserve">aloración </w:t>
      </w:r>
      <w:r>
        <w:rPr>
          <w:rFonts w:ascii="Arial" w:hAnsi="Arial" w:cs="Arial"/>
          <w:sz w:val="24"/>
        </w:rPr>
        <w:t>d</w:t>
      </w:r>
      <w:r w:rsidRPr="00750726">
        <w:rPr>
          <w:rFonts w:ascii="Arial" w:hAnsi="Arial" w:cs="Arial"/>
          <w:sz w:val="24"/>
        </w:rPr>
        <w:t xml:space="preserve">el </w:t>
      </w:r>
      <w:r>
        <w:rPr>
          <w:rFonts w:ascii="Arial" w:hAnsi="Arial" w:cs="Arial"/>
          <w:sz w:val="24"/>
        </w:rPr>
        <w:t>t</w:t>
      </w:r>
      <w:r w:rsidRPr="00750726">
        <w:rPr>
          <w:rFonts w:ascii="Arial" w:hAnsi="Arial" w:cs="Arial"/>
          <w:sz w:val="24"/>
        </w:rPr>
        <w:t xml:space="preserve">estigo </w:t>
      </w:r>
      <w:r>
        <w:rPr>
          <w:rFonts w:ascii="Arial" w:hAnsi="Arial" w:cs="Arial"/>
          <w:sz w:val="24"/>
        </w:rPr>
        <w:t>d</w:t>
      </w:r>
      <w:r w:rsidRPr="00750726">
        <w:rPr>
          <w:rFonts w:ascii="Arial" w:hAnsi="Arial" w:cs="Arial"/>
          <w:sz w:val="24"/>
        </w:rPr>
        <w:t xml:space="preserve">e </w:t>
      </w:r>
      <w:r>
        <w:rPr>
          <w:rFonts w:ascii="Arial" w:hAnsi="Arial" w:cs="Arial"/>
          <w:sz w:val="24"/>
        </w:rPr>
        <w:t>r</w:t>
      </w:r>
      <w:r w:rsidRPr="00750726">
        <w:rPr>
          <w:rFonts w:ascii="Arial" w:hAnsi="Arial" w:cs="Arial"/>
          <w:sz w:val="24"/>
        </w:rPr>
        <w:t xml:space="preserve">eferencia </w:t>
      </w:r>
      <w:r>
        <w:rPr>
          <w:rFonts w:ascii="Arial" w:hAnsi="Arial" w:cs="Arial"/>
          <w:sz w:val="24"/>
        </w:rPr>
        <w:t>e</w:t>
      </w:r>
      <w:r w:rsidRPr="00750726">
        <w:rPr>
          <w:rFonts w:ascii="Arial" w:hAnsi="Arial" w:cs="Arial"/>
          <w:sz w:val="24"/>
        </w:rPr>
        <w:t xml:space="preserve">n </w:t>
      </w:r>
      <w:r>
        <w:rPr>
          <w:rFonts w:ascii="Arial" w:hAnsi="Arial" w:cs="Arial"/>
          <w:sz w:val="24"/>
        </w:rPr>
        <w:t>e</w:t>
      </w:r>
      <w:r w:rsidRPr="00750726">
        <w:rPr>
          <w:rFonts w:ascii="Arial" w:hAnsi="Arial" w:cs="Arial"/>
          <w:sz w:val="24"/>
        </w:rPr>
        <w:t xml:space="preserve">l </w:t>
      </w:r>
      <w:r>
        <w:rPr>
          <w:rFonts w:ascii="Arial" w:hAnsi="Arial" w:cs="Arial"/>
          <w:sz w:val="24"/>
        </w:rPr>
        <w:t>n</w:t>
      </w:r>
      <w:r w:rsidRPr="00750726">
        <w:rPr>
          <w:rFonts w:ascii="Arial" w:hAnsi="Arial" w:cs="Arial"/>
          <w:sz w:val="24"/>
        </w:rPr>
        <w:t>uevo Código Procesal Penal Salvadoreño</w:t>
      </w:r>
    </w:p>
    <w:p w:rsidR="00750726" w:rsidRPr="00750726" w:rsidRDefault="00750726" w:rsidP="00750726">
      <w:pPr>
        <w:rPr>
          <w:rFonts w:ascii="Arial" w:hAnsi="Arial" w:cs="Arial"/>
          <w:sz w:val="24"/>
        </w:rPr>
      </w:pPr>
    </w:p>
    <w:p w:rsidR="00750726" w:rsidRPr="00750726" w:rsidRDefault="00750726" w:rsidP="00750726">
      <w:pPr>
        <w:rPr>
          <w:rFonts w:ascii="Arial" w:hAnsi="Arial" w:cs="Arial"/>
          <w:sz w:val="24"/>
        </w:rPr>
      </w:pPr>
      <w:r w:rsidRPr="00750726">
        <w:rPr>
          <w:rFonts w:ascii="Arial" w:hAnsi="Arial" w:cs="Arial"/>
          <w:sz w:val="24"/>
        </w:rPr>
        <w:t>Jiménez, Lorena Beatriz</w:t>
      </w:r>
    </w:p>
    <w:p w:rsidR="00750726" w:rsidRPr="00750726" w:rsidRDefault="00750726" w:rsidP="00750726">
      <w:pPr>
        <w:rPr>
          <w:rFonts w:ascii="Arial" w:hAnsi="Arial" w:cs="Arial"/>
          <w:sz w:val="24"/>
        </w:rPr>
      </w:pPr>
      <w:r w:rsidRPr="00750726">
        <w:rPr>
          <w:rFonts w:ascii="Arial" w:hAnsi="Arial" w:cs="Arial"/>
          <w:sz w:val="24"/>
        </w:rPr>
        <w:t>Ramos Peña, Elsa Daniela Raquel</w:t>
      </w:r>
    </w:p>
    <w:p w:rsidR="00750726" w:rsidRPr="00750726" w:rsidRDefault="00750726" w:rsidP="00750726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</w:t>
      </w:r>
      <w:r w:rsidRPr="00750726">
        <w:rPr>
          <w:rFonts w:ascii="Arial" w:hAnsi="Arial" w:cs="Arial"/>
          <w:sz w:val="24"/>
          <w:szCs w:val="24"/>
        </w:rPr>
        <w:t>arle continuidad a los antiguos procesos prácticos existentes,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que pueden ser tomados en forma doctrinaria; en el que se puede observar que no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se toma en cuenta el testimonio del testigo de referencia, por la carencia de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relevancia jurídica. Dando como resultado la desprotección de la seguridad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jurídica que debe de brindar el Estado a través de los administradores de justicia,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como lo son: los jueces en materia penal, los defensores públicos y los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representantes de la Fiscalía General de La República de El Salvador.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En la coyuntura procesal penal actual de la sociedad salvadoreña que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acontece como: la falta de agilidad en el debido proceso, robustez de la</w:t>
      </w:r>
      <w:r w:rsidRPr="00750726">
        <w:rPr>
          <w:rFonts w:ascii="Arial" w:hAnsi="Arial" w:cs="Arial"/>
          <w:sz w:val="24"/>
          <w:szCs w:val="24"/>
        </w:rPr>
        <w:t xml:space="preserve"> </w:t>
      </w:r>
      <w:r w:rsidRPr="00750726">
        <w:rPr>
          <w:rFonts w:ascii="Arial" w:hAnsi="Arial" w:cs="Arial"/>
          <w:sz w:val="24"/>
          <w:szCs w:val="24"/>
        </w:rPr>
        <w:t>prueba, impunidad procesal, y el crimen organizado, etc.</w:t>
      </w:r>
      <w:bookmarkStart w:id="0" w:name="_GoBack"/>
      <w:bookmarkEnd w:id="0"/>
    </w:p>
    <w:p w:rsidR="00750726" w:rsidRDefault="00750726" w:rsidP="00750726">
      <w:pPr>
        <w:jc w:val="both"/>
        <w:rPr>
          <w:rFonts w:ascii="Arial" w:hAnsi="Arial" w:cs="Arial"/>
          <w:sz w:val="24"/>
          <w:szCs w:val="24"/>
        </w:rPr>
      </w:pPr>
    </w:p>
    <w:p w:rsidR="00750726" w:rsidRPr="00750726" w:rsidRDefault="00750726" w:rsidP="00750726">
      <w:pPr>
        <w:jc w:val="both"/>
        <w:rPr>
          <w:rFonts w:ascii="Arial" w:hAnsi="Arial" w:cs="Arial"/>
          <w:sz w:val="24"/>
          <w:szCs w:val="24"/>
        </w:rPr>
      </w:pPr>
      <w:r w:rsidRPr="00750726">
        <w:rPr>
          <w:rFonts w:ascii="Arial" w:hAnsi="Arial" w:cs="Arial"/>
          <w:sz w:val="24"/>
          <w:szCs w:val="24"/>
        </w:rPr>
        <w:t>Licenciatura en Ciencias Jurídicas 201</w:t>
      </w:r>
      <w:r w:rsidRPr="00750726">
        <w:rPr>
          <w:rFonts w:ascii="Arial" w:hAnsi="Arial" w:cs="Arial"/>
          <w:sz w:val="24"/>
          <w:szCs w:val="24"/>
        </w:rPr>
        <w:t>1.</w:t>
      </w:r>
    </w:p>
    <w:p w:rsidR="00750726" w:rsidRDefault="00750726" w:rsidP="00750726">
      <w:pPr>
        <w:jc w:val="both"/>
      </w:pPr>
    </w:p>
    <w:sectPr w:rsidR="0075072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726"/>
    <w:rsid w:val="003066CC"/>
    <w:rsid w:val="00750726"/>
    <w:rsid w:val="008F3485"/>
    <w:rsid w:val="00E85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90FD948"/>
  <w15:chartTrackingRefBased/>
  <w15:docId w15:val="{155B1CE9-11B2-4164-B661-02A2534EA1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139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2023-03-25T01:11:00Z</dcterms:created>
  <dcterms:modified xsi:type="dcterms:W3CDTF">2023-03-25T01:24:00Z</dcterms:modified>
</cp:coreProperties>
</file>