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F63FD6" w14:textId="47F080C2" w:rsidR="00132635" w:rsidRDefault="00132635"/>
    <w:p w14:paraId="70886EB6" w14:textId="3D0C2CF6" w:rsidR="00833842" w:rsidRDefault="00833842"/>
    <w:p w14:paraId="1725A220" w14:textId="19C9676A" w:rsidR="00833842" w:rsidRDefault="00833842"/>
    <w:p w14:paraId="5B4F66B8" w14:textId="10248746" w:rsidR="00833842" w:rsidRDefault="00833842">
      <w:bookmarkStart w:id="0" w:name="_Hlk125911341"/>
    </w:p>
    <w:bookmarkEnd w:id="0"/>
    <w:p w14:paraId="0935BD2F" w14:textId="6CCA7200" w:rsidR="000D6178" w:rsidRPr="00166FBB" w:rsidRDefault="007C289C">
      <w:pPr>
        <w:jc w:val="both"/>
        <w:rPr>
          <w:rFonts w:ascii="Arial" w:hAnsi="Arial" w:cs="Arial"/>
          <w:sz w:val="24"/>
          <w:szCs w:val="24"/>
        </w:rPr>
      </w:pPr>
      <w:r w:rsidRPr="00166FBB">
        <w:rPr>
          <w:rFonts w:ascii="Arial" w:hAnsi="Arial" w:cs="Arial"/>
          <w:sz w:val="24"/>
          <w:szCs w:val="24"/>
        </w:rPr>
        <w:t xml:space="preserve">La Caducidad de la </w:t>
      </w:r>
      <w:r w:rsidR="00166FBB">
        <w:rPr>
          <w:rFonts w:ascii="Arial" w:hAnsi="Arial" w:cs="Arial"/>
          <w:sz w:val="24"/>
          <w:szCs w:val="24"/>
        </w:rPr>
        <w:t>i</w:t>
      </w:r>
      <w:r w:rsidRPr="00166FBB">
        <w:rPr>
          <w:rFonts w:ascii="Arial" w:hAnsi="Arial" w:cs="Arial"/>
          <w:sz w:val="24"/>
          <w:szCs w:val="24"/>
        </w:rPr>
        <w:t xml:space="preserve">nstancia como un modo anormal de terminar el proceso, frente a la necesidad de su declaratoria en la vigente normativa del Código Procesal Civil y Mercantil al ser promovida en juzgados de lo Civil y Mercantil dentro de la </w:t>
      </w:r>
      <w:r w:rsidR="00166FBB">
        <w:rPr>
          <w:rFonts w:ascii="Arial" w:hAnsi="Arial" w:cs="Arial"/>
          <w:sz w:val="24"/>
          <w:szCs w:val="24"/>
        </w:rPr>
        <w:t>p</w:t>
      </w:r>
      <w:r w:rsidRPr="00166FBB">
        <w:rPr>
          <w:rFonts w:ascii="Arial" w:hAnsi="Arial" w:cs="Arial"/>
          <w:sz w:val="24"/>
          <w:szCs w:val="24"/>
        </w:rPr>
        <w:t xml:space="preserve">rimera </w:t>
      </w:r>
      <w:r w:rsidR="00166FBB">
        <w:rPr>
          <w:rFonts w:ascii="Arial" w:hAnsi="Arial" w:cs="Arial"/>
          <w:sz w:val="24"/>
          <w:szCs w:val="24"/>
        </w:rPr>
        <w:t>i</w:t>
      </w:r>
      <w:r w:rsidRPr="00166FBB">
        <w:rPr>
          <w:rFonts w:ascii="Arial" w:hAnsi="Arial" w:cs="Arial"/>
          <w:sz w:val="24"/>
          <w:szCs w:val="24"/>
        </w:rPr>
        <w:t>nstancia.</w:t>
      </w:r>
    </w:p>
    <w:p w14:paraId="4E4A6E93" w14:textId="77777777" w:rsidR="007C289C" w:rsidRPr="00166FBB" w:rsidRDefault="007C289C">
      <w:pPr>
        <w:jc w:val="both"/>
        <w:rPr>
          <w:rFonts w:ascii="Arial" w:hAnsi="Arial" w:cs="Arial"/>
          <w:sz w:val="24"/>
          <w:szCs w:val="24"/>
        </w:rPr>
      </w:pPr>
    </w:p>
    <w:p w14:paraId="2D177826" w14:textId="5A2EA053" w:rsidR="007C289C" w:rsidRPr="00166FBB" w:rsidRDefault="007C289C">
      <w:pPr>
        <w:jc w:val="both"/>
        <w:rPr>
          <w:rFonts w:ascii="Arial" w:hAnsi="Arial" w:cs="Arial"/>
          <w:sz w:val="24"/>
          <w:szCs w:val="24"/>
        </w:rPr>
      </w:pPr>
      <w:r w:rsidRPr="00166FBB">
        <w:rPr>
          <w:rFonts w:ascii="Arial" w:hAnsi="Arial" w:cs="Arial"/>
          <w:sz w:val="24"/>
          <w:szCs w:val="24"/>
        </w:rPr>
        <w:t xml:space="preserve">La Caducidad de la Instancia, es una figura innovadora en nuestra legislación a pesar que tiene sus antecedentes desde los años 90´s ante la necesidad que existía de que los procesos ya no siguieran estancados en los juzgados por la falta de interés de las partes, porque con esto lo único que se lograba era que la acumulación de procesos se volviera cada vez más grande al punto de evitar que los administradores de justicia pudieran atender diligencias verdaderamente importante por estar acumulando procesos que </w:t>
      </w:r>
      <w:r w:rsidRPr="00166FBB">
        <w:rPr>
          <w:rFonts w:ascii="Arial" w:hAnsi="Arial" w:cs="Arial"/>
          <w:sz w:val="24"/>
          <w:szCs w:val="24"/>
        </w:rPr>
        <w:t>aún</w:t>
      </w:r>
      <w:r w:rsidRPr="00166FBB">
        <w:rPr>
          <w:rFonts w:ascii="Arial" w:hAnsi="Arial" w:cs="Arial"/>
          <w:sz w:val="24"/>
          <w:szCs w:val="24"/>
        </w:rPr>
        <w:t xml:space="preserve"> no habían fenecido y que por la misma falta de interés nunca fenecieron. A raíz de esta problemática en el año dos mil se introdujo el decreto número doscientos trece, el día siete de diciembre de ese mismo año. Con este decreto se </w:t>
      </w:r>
      <w:r w:rsidRPr="00166FBB">
        <w:rPr>
          <w:rFonts w:ascii="Arial" w:hAnsi="Arial" w:cs="Arial"/>
          <w:sz w:val="24"/>
          <w:szCs w:val="24"/>
        </w:rPr>
        <w:t>logró</w:t>
      </w:r>
      <w:r w:rsidRPr="00166FBB">
        <w:rPr>
          <w:rFonts w:ascii="Arial" w:hAnsi="Arial" w:cs="Arial"/>
          <w:sz w:val="24"/>
          <w:szCs w:val="24"/>
        </w:rPr>
        <w:t xml:space="preserve"> adicionar nueve artículos al Código de Procedimientos Civiles, del artículo 471-A al 471-I siendo regulada así por primera vez en el ordenamiento jurídico salvadoreño, la caducidad de la instancia.</w:t>
      </w:r>
    </w:p>
    <w:p w14:paraId="42DDF175" w14:textId="5784F5B6" w:rsidR="007C289C" w:rsidRPr="00166FBB" w:rsidRDefault="007C289C">
      <w:pPr>
        <w:jc w:val="both"/>
        <w:rPr>
          <w:rFonts w:ascii="Arial" w:hAnsi="Arial" w:cs="Arial"/>
          <w:sz w:val="24"/>
          <w:szCs w:val="24"/>
        </w:rPr>
      </w:pPr>
    </w:p>
    <w:p w14:paraId="6F9146B9" w14:textId="1AB2AFCE" w:rsidR="00166FBB" w:rsidRPr="00166FBB" w:rsidRDefault="00166FBB">
      <w:pPr>
        <w:jc w:val="both"/>
        <w:rPr>
          <w:rFonts w:ascii="Arial" w:hAnsi="Arial" w:cs="Arial"/>
          <w:sz w:val="24"/>
          <w:szCs w:val="24"/>
        </w:rPr>
      </w:pPr>
      <w:r w:rsidRPr="00166FBB">
        <w:rPr>
          <w:rFonts w:ascii="Arial" w:hAnsi="Arial" w:cs="Arial"/>
          <w:sz w:val="24"/>
          <w:szCs w:val="24"/>
        </w:rPr>
        <w:t>Arévalo</w:t>
      </w:r>
      <w:r w:rsidR="007C289C" w:rsidRPr="00166FBB">
        <w:rPr>
          <w:rFonts w:ascii="Arial" w:hAnsi="Arial" w:cs="Arial"/>
          <w:sz w:val="24"/>
          <w:szCs w:val="24"/>
        </w:rPr>
        <w:t xml:space="preserve"> </w:t>
      </w:r>
      <w:r w:rsidRPr="00166FBB">
        <w:rPr>
          <w:rFonts w:ascii="Arial" w:hAnsi="Arial" w:cs="Arial"/>
          <w:sz w:val="24"/>
          <w:szCs w:val="24"/>
        </w:rPr>
        <w:t>de</w:t>
      </w:r>
      <w:r w:rsidR="007C289C" w:rsidRPr="00166FBB">
        <w:rPr>
          <w:rFonts w:ascii="Arial" w:hAnsi="Arial" w:cs="Arial"/>
          <w:sz w:val="24"/>
          <w:szCs w:val="24"/>
        </w:rPr>
        <w:t xml:space="preserve"> F</w:t>
      </w:r>
      <w:r w:rsidRPr="00166FBB">
        <w:rPr>
          <w:rFonts w:ascii="Arial" w:hAnsi="Arial" w:cs="Arial"/>
          <w:sz w:val="24"/>
          <w:szCs w:val="24"/>
        </w:rPr>
        <w:t>uentes</w:t>
      </w:r>
      <w:r w:rsidR="007C289C" w:rsidRPr="00166FBB">
        <w:rPr>
          <w:rFonts w:ascii="Arial" w:hAnsi="Arial" w:cs="Arial"/>
          <w:sz w:val="24"/>
          <w:szCs w:val="24"/>
        </w:rPr>
        <w:t>, K</w:t>
      </w:r>
      <w:r w:rsidRPr="00166FBB">
        <w:rPr>
          <w:rFonts w:ascii="Arial" w:hAnsi="Arial" w:cs="Arial"/>
          <w:sz w:val="24"/>
          <w:szCs w:val="24"/>
        </w:rPr>
        <w:t>arla</w:t>
      </w:r>
      <w:r w:rsidR="007C289C" w:rsidRPr="00166FBB">
        <w:rPr>
          <w:rFonts w:ascii="Arial" w:hAnsi="Arial" w:cs="Arial"/>
          <w:sz w:val="24"/>
          <w:szCs w:val="24"/>
        </w:rPr>
        <w:t xml:space="preserve"> </w:t>
      </w:r>
      <w:r w:rsidRPr="00166FBB">
        <w:rPr>
          <w:rFonts w:ascii="Arial" w:hAnsi="Arial" w:cs="Arial"/>
          <w:sz w:val="24"/>
          <w:szCs w:val="24"/>
        </w:rPr>
        <w:t>María</w:t>
      </w:r>
    </w:p>
    <w:p w14:paraId="14BA7FE5" w14:textId="01202941" w:rsidR="00166FBB" w:rsidRPr="00166FBB" w:rsidRDefault="007C289C">
      <w:pPr>
        <w:jc w:val="both"/>
        <w:rPr>
          <w:rFonts w:ascii="Arial" w:hAnsi="Arial" w:cs="Arial"/>
          <w:sz w:val="24"/>
          <w:szCs w:val="24"/>
        </w:rPr>
      </w:pPr>
      <w:r w:rsidRPr="00166FBB">
        <w:rPr>
          <w:rFonts w:ascii="Arial" w:hAnsi="Arial" w:cs="Arial"/>
          <w:sz w:val="24"/>
          <w:szCs w:val="24"/>
        </w:rPr>
        <w:t>C</w:t>
      </w:r>
      <w:r w:rsidR="00166FBB" w:rsidRPr="00166FBB">
        <w:rPr>
          <w:rFonts w:ascii="Arial" w:hAnsi="Arial" w:cs="Arial"/>
          <w:sz w:val="24"/>
          <w:szCs w:val="24"/>
        </w:rPr>
        <w:t>anizalez</w:t>
      </w:r>
      <w:r w:rsidRPr="00166FBB">
        <w:rPr>
          <w:rFonts w:ascii="Arial" w:hAnsi="Arial" w:cs="Arial"/>
          <w:sz w:val="24"/>
          <w:szCs w:val="24"/>
        </w:rPr>
        <w:t xml:space="preserve"> R</w:t>
      </w:r>
      <w:r w:rsidR="00E265CB" w:rsidRPr="00166FBB">
        <w:rPr>
          <w:rFonts w:ascii="Arial" w:hAnsi="Arial" w:cs="Arial"/>
          <w:sz w:val="24"/>
          <w:szCs w:val="24"/>
        </w:rPr>
        <w:t>etana</w:t>
      </w:r>
      <w:r w:rsidRPr="00166FBB">
        <w:rPr>
          <w:rFonts w:ascii="Arial" w:hAnsi="Arial" w:cs="Arial"/>
          <w:sz w:val="24"/>
          <w:szCs w:val="24"/>
        </w:rPr>
        <w:t>, C</w:t>
      </w:r>
      <w:r w:rsidR="00E265CB" w:rsidRPr="00166FBB">
        <w:rPr>
          <w:rFonts w:ascii="Arial" w:hAnsi="Arial" w:cs="Arial"/>
          <w:sz w:val="24"/>
          <w:szCs w:val="24"/>
        </w:rPr>
        <w:t>indy</w:t>
      </w:r>
      <w:r w:rsidRPr="00166FBB">
        <w:rPr>
          <w:rFonts w:ascii="Arial" w:hAnsi="Arial" w:cs="Arial"/>
          <w:sz w:val="24"/>
          <w:szCs w:val="24"/>
        </w:rPr>
        <w:t xml:space="preserve"> T</w:t>
      </w:r>
      <w:r w:rsidR="00E265CB" w:rsidRPr="00166FBB">
        <w:rPr>
          <w:rFonts w:ascii="Arial" w:hAnsi="Arial" w:cs="Arial"/>
          <w:sz w:val="24"/>
          <w:szCs w:val="24"/>
        </w:rPr>
        <w:t>atiana</w:t>
      </w:r>
    </w:p>
    <w:p w14:paraId="30F48F67" w14:textId="74A3F0F4" w:rsidR="00166FBB" w:rsidRPr="00166FBB" w:rsidRDefault="007C289C">
      <w:pPr>
        <w:jc w:val="both"/>
        <w:rPr>
          <w:rFonts w:ascii="Arial" w:hAnsi="Arial" w:cs="Arial"/>
          <w:sz w:val="24"/>
          <w:szCs w:val="24"/>
        </w:rPr>
      </w:pPr>
      <w:r w:rsidRPr="00166FBB">
        <w:rPr>
          <w:rFonts w:ascii="Arial" w:hAnsi="Arial" w:cs="Arial"/>
          <w:sz w:val="24"/>
          <w:szCs w:val="24"/>
        </w:rPr>
        <w:t>C</w:t>
      </w:r>
      <w:r w:rsidR="00E265CB" w:rsidRPr="00166FBB">
        <w:rPr>
          <w:rFonts w:ascii="Arial" w:hAnsi="Arial" w:cs="Arial"/>
          <w:sz w:val="24"/>
          <w:szCs w:val="24"/>
        </w:rPr>
        <w:t>astaneda</w:t>
      </w:r>
      <w:r w:rsidRPr="00166FBB">
        <w:rPr>
          <w:rFonts w:ascii="Arial" w:hAnsi="Arial" w:cs="Arial"/>
          <w:sz w:val="24"/>
          <w:szCs w:val="24"/>
        </w:rPr>
        <w:t xml:space="preserve"> </w:t>
      </w:r>
      <w:r w:rsidR="00E265CB" w:rsidRPr="00166FBB">
        <w:rPr>
          <w:rFonts w:ascii="Arial" w:hAnsi="Arial" w:cs="Arial"/>
          <w:sz w:val="24"/>
          <w:szCs w:val="24"/>
        </w:rPr>
        <w:t>Gutiérrez</w:t>
      </w:r>
      <w:r w:rsidRPr="00166FBB">
        <w:rPr>
          <w:rFonts w:ascii="Arial" w:hAnsi="Arial" w:cs="Arial"/>
          <w:sz w:val="24"/>
          <w:szCs w:val="24"/>
        </w:rPr>
        <w:t>, J</w:t>
      </w:r>
      <w:r w:rsidR="00E265CB" w:rsidRPr="00166FBB">
        <w:rPr>
          <w:rFonts w:ascii="Arial" w:hAnsi="Arial" w:cs="Arial"/>
          <w:sz w:val="24"/>
          <w:szCs w:val="24"/>
        </w:rPr>
        <w:t>ohnny</w:t>
      </w:r>
      <w:r w:rsidRPr="00166FBB">
        <w:rPr>
          <w:rFonts w:ascii="Arial" w:hAnsi="Arial" w:cs="Arial"/>
          <w:sz w:val="24"/>
          <w:szCs w:val="24"/>
        </w:rPr>
        <w:t xml:space="preserve"> </w:t>
      </w:r>
      <w:r w:rsidR="00E265CB" w:rsidRPr="00166FBB">
        <w:rPr>
          <w:rFonts w:ascii="Arial" w:hAnsi="Arial" w:cs="Arial"/>
          <w:sz w:val="24"/>
          <w:szCs w:val="24"/>
        </w:rPr>
        <w:t>Joaquín</w:t>
      </w:r>
    </w:p>
    <w:p w14:paraId="73305221" w14:textId="4769C470" w:rsidR="007C289C" w:rsidRPr="00166FBB" w:rsidRDefault="007C289C">
      <w:pPr>
        <w:jc w:val="both"/>
        <w:rPr>
          <w:rFonts w:ascii="Arial" w:hAnsi="Arial" w:cs="Arial"/>
          <w:sz w:val="24"/>
          <w:szCs w:val="24"/>
        </w:rPr>
      </w:pPr>
      <w:r w:rsidRPr="00166FBB">
        <w:rPr>
          <w:rFonts w:ascii="Arial" w:hAnsi="Arial" w:cs="Arial"/>
          <w:sz w:val="24"/>
          <w:szCs w:val="24"/>
        </w:rPr>
        <w:t xml:space="preserve"> R</w:t>
      </w:r>
      <w:r w:rsidR="00E265CB" w:rsidRPr="00166FBB">
        <w:rPr>
          <w:rFonts w:ascii="Arial" w:hAnsi="Arial" w:cs="Arial"/>
          <w:sz w:val="24"/>
          <w:szCs w:val="24"/>
        </w:rPr>
        <w:t>uiz</w:t>
      </w:r>
      <w:r w:rsidRPr="00166FBB">
        <w:rPr>
          <w:rFonts w:ascii="Arial" w:hAnsi="Arial" w:cs="Arial"/>
          <w:sz w:val="24"/>
          <w:szCs w:val="24"/>
        </w:rPr>
        <w:t xml:space="preserve"> </w:t>
      </w:r>
      <w:r w:rsidR="00E265CB" w:rsidRPr="00166FBB">
        <w:rPr>
          <w:rFonts w:ascii="Arial" w:hAnsi="Arial" w:cs="Arial"/>
          <w:sz w:val="24"/>
          <w:szCs w:val="24"/>
        </w:rPr>
        <w:t>Álvarez</w:t>
      </w:r>
      <w:r w:rsidRPr="00166FBB">
        <w:rPr>
          <w:rFonts w:ascii="Arial" w:hAnsi="Arial" w:cs="Arial"/>
          <w:sz w:val="24"/>
          <w:szCs w:val="24"/>
        </w:rPr>
        <w:t>, D</w:t>
      </w:r>
      <w:r w:rsidR="00E265CB" w:rsidRPr="00166FBB">
        <w:rPr>
          <w:rFonts w:ascii="Arial" w:hAnsi="Arial" w:cs="Arial"/>
          <w:sz w:val="24"/>
          <w:szCs w:val="24"/>
        </w:rPr>
        <w:t>iego</w:t>
      </w:r>
      <w:r w:rsidRPr="00166FBB">
        <w:rPr>
          <w:rFonts w:ascii="Arial" w:hAnsi="Arial" w:cs="Arial"/>
          <w:sz w:val="24"/>
          <w:szCs w:val="24"/>
        </w:rPr>
        <w:t xml:space="preserve"> A</w:t>
      </w:r>
      <w:r w:rsidR="00E265CB" w:rsidRPr="00166FBB">
        <w:rPr>
          <w:rFonts w:ascii="Arial" w:hAnsi="Arial" w:cs="Arial"/>
          <w:sz w:val="24"/>
          <w:szCs w:val="24"/>
        </w:rPr>
        <w:t>rmando</w:t>
      </w:r>
    </w:p>
    <w:p w14:paraId="5305F3FA" w14:textId="1AF5EBA2" w:rsidR="007C289C" w:rsidRPr="00166FBB" w:rsidRDefault="007C289C">
      <w:pPr>
        <w:jc w:val="both"/>
        <w:rPr>
          <w:rFonts w:ascii="Arial" w:hAnsi="Arial" w:cs="Arial"/>
          <w:sz w:val="24"/>
          <w:szCs w:val="24"/>
        </w:rPr>
      </w:pPr>
      <w:r w:rsidRPr="00166FBB">
        <w:rPr>
          <w:rFonts w:ascii="Arial" w:hAnsi="Arial" w:cs="Arial"/>
          <w:sz w:val="24"/>
          <w:szCs w:val="24"/>
        </w:rPr>
        <w:t>CIENCIAS JURÍDICAS</w:t>
      </w:r>
      <w:r w:rsidR="007E5B78">
        <w:rPr>
          <w:rFonts w:ascii="Arial" w:hAnsi="Arial" w:cs="Arial"/>
          <w:sz w:val="24"/>
          <w:szCs w:val="24"/>
        </w:rPr>
        <w:t>,2012</w:t>
      </w:r>
    </w:p>
    <w:sectPr w:rsidR="007C289C" w:rsidRPr="00166FB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842"/>
    <w:rsid w:val="000D4848"/>
    <w:rsid w:val="000D6178"/>
    <w:rsid w:val="001016C4"/>
    <w:rsid w:val="00132635"/>
    <w:rsid w:val="00166FBB"/>
    <w:rsid w:val="002078F2"/>
    <w:rsid w:val="002D7768"/>
    <w:rsid w:val="00411AED"/>
    <w:rsid w:val="005E26EB"/>
    <w:rsid w:val="007079EC"/>
    <w:rsid w:val="007C289C"/>
    <w:rsid w:val="007E5B78"/>
    <w:rsid w:val="00833842"/>
    <w:rsid w:val="0087603A"/>
    <w:rsid w:val="0090481A"/>
    <w:rsid w:val="00A0162C"/>
    <w:rsid w:val="00A57DB5"/>
    <w:rsid w:val="00E265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79F7E"/>
  <w15:chartTrackingRefBased/>
  <w15:docId w15:val="{98F46D71-B373-4035-A7EF-E4F9C0306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3842"/>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211</Words>
  <Characters>1166</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2023-01-30T03:11:00Z</dcterms:created>
  <dcterms:modified xsi:type="dcterms:W3CDTF">2023-01-30T03:11:00Z</dcterms:modified>
</cp:coreProperties>
</file>