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6D3" w:rsidRPr="00823449" w:rsidRDefault="00823449" w:rsidP="00823449">
      <w:pPr>
        <w:jc w:val="both"/>
        <w:rPr>
          <w:rFonts w:ascii="Arial" w:hAnsi="Arial" w:cs="Arial"/>
          <w:sz w:val="24"/>
          <w:szCs w:val="24"/>
        </w:rPr>
      </w:pPr>
      <w:r w:rsidRPr="00823449">
        <w:rPr>
          <w:rFonts w:ascii="Arial" w:hAnsi="Arial" w:cs="Arial"/>
          <w:sz w:val="24"/>
          <w:szCs w:val="24"/>
        </w:rPr>
        <w:t xml:space="preserve">La </w:t>
      </w:r>
      <w:r w:rsidR="000F6D0B" w:rsidRPr="00823449">
        <w:rPr>
          <w:rFonts w:ascii="Arial" w:hAnsi="Arial" w:cs="Arial"/>
          <w:sz w:val="24"/>
          <w:szCs w:val="24"/>
        </w:rPr>
        <w:t>efectividad de la anotación preventiva de la demanda de alimentos como un mecanismo para garantizar el cumplimiento de una cuota alimenticia a favor de las niñas, niños o adolescentes</w:t>
      </w:r>
    </w:p>
    <w:p w:rsidR="00823449" w:rsidRPr="00823449" w:rsidRDefault="00823449" w:rsidP="00823449">
      <w:pPr>
        <w:jc w:val="both"/>
        <w:rPr>
          <w:rFonts w:ascii="Arial" w:hAnsi="Arial" w:cs="Arial"/>
          <w:sz w:val="24"/>
          <w:szCs w:val="24"/>
        </w:rPr>
      </w:pPr>
    </w:p>
    <w:p w:rsidR="00823449" w:rsidRPr="00823449" w:rsidRDefault="00823449" w:rsidP="00823449">
      <w:pPr>
        <w:jc w:val="both"/>
        <w:rPr>
          <w:rFonts w:ascii="Arial" w:hAnsi="Arial" w:cs="Arial"/>
          <w:sz w:val="24"/>
          <w:szCs w:val="24"/>
        </w:rPr>
      </w:pPr>
      <w:r w:rsidRPr="00823449">
        <w:rPr>
          <w:rFonts w:ascii="Arial" w:hAnsi="Arial" w:cs="Arial"/>
          <w:sz w:val="24"/>
          <w:szCs w:val="24"/>
        </w:rPr>
        <w:t>González Magaña, Sindy Beatriz</w:t>
      </w:r>
    </w:p>
    <w:p w:rsidR="00823449" w:rsidRPr="00823449" w:rsidRDefault="00823449" w:rsidP="00823449">
      <w:pPr>
        <w:jc w:val="both"/>
        <w:rPr>
          <w:rFonts w:ascii="Arial" w:hAnsi="Arial" w:cs="Arial"/>
          <w:sz w:val="24"/>
          <w:szCs w:val="24"/>
        </w:rPr>
      </w:pPr>
      <w:r w:rsidRPr="00823449">
        <w:rPr>
          <w:rFonts w:ascii="Arial" w:hAnsi="Arial" w:cs="Arial"/>
          <w:sz w:val="24"/>
          <w:szCs w:val="24"/>
        </w:rPr>
        <w:t>Ramírez Corado, Miguel Ernesto</w:t>
      </w:r>
    </w:p>
    <w:p w:rsidR="00823449" w:rsidRDefault="00823449" w:rsidP="00823449">
      <w:pPr>
        <w:jc w:val="both"/>
        <w:rPr>
          <w:rFonts w:ascii="Arial" w:hAnsi="Arial" w:cs="Arial"/>
          <w:sz w:val="24"/>
          <w:szCs w:val="24"/>
        </w:rPr>
      </w:pPr>
      <w:r w:rsidRPr="00823449">
        <w:rPr>
          <w:rFonts w:ascii="Arial" w:hAnsi="Arial" w:cs="Arial"/>
          <w:sz w:val="24"/>
          <w:szCs w:val="24"/>
        </w:rPr>
        <w:t xml:space="preserve">Rosales Fabián, Susana </w:t>
      </w:r>
      <w:r w:rsidR="000F6D0B" w:rsidRPr="00823449">
        <w:rPr>
          <w:rFonts w:ascii="Arial" w:hAnsi="Arial" w:cs="Arial"/>
          <w:sz w:val="24"/>
          <w:szCs w:val="24"/>
        </w:rPr>
        <w:t>Liseth</w:t>
      </w:r>
    </w:p>
    <w:p w:rsidR="00823449" w:rsidRPr="00823449" w:rsidRDefault="00823449" w:rsidP="00823449">
      <w:pPr>
        <w:rPr>
          <w:rFonts w:ascii="Arial" w:hAnsi="Arial" w:cs="Arial"/>
          <w:sz w:val="24"/>
          <w:szCs w:val="24"/>
        </w:rPr>
      </w:pPr>
    </w:p>
    <w:p w:rsidR="00823449" w:rsidRPr="00823449" w:rsidRDefault="00823449" w:rsidP="00823449">
      <w:pPr>
        <w:jc w:val="both"/>
        <w:rPr>
          <w:rFonts w:ascii="Arial" w:hAnsi="Arial" w:cs="Arial"/>
          <w:sz w:val="24"/>
          <w:szCs w:val="24"/>
        </w:rPr>
      </w:pPr>
      <w:r w:rsidRPr="00823449">
        <w:rPr>
          <w:rFonts w:ascii="Arial" w:hAnsi="Arial" w:cs="Arial"/>
          <w:sz w:val="24"/>
          <w:szCs w:val="24"/>
        </w:rPr>
        <w:t>La familia es el núcleo central de la sociedad es por ello que el Estado, está</w:t>
      </w:r>
      <w:r w:rsidRPr="00823449">
        <w:rPr>
          <w:rFonts w:ascii="Arial" w:hAnsi="Arial" w:cs="Arial"/>
          <w:sz w:val="24"/>
          <w:szCs w:val="24"/>
        </w:rPr>
        <w:t xml:space="preserve"> </w:t>
      </w:r>
      <w:r w:rsidRPr="00823449">
        <w:rPr>
          <w:rFonts w:ascii="Arial" w:hAnsi="Arial" w:cs="Arial"/>
          <w:sz w:val="24"/>
          <w:szCs w:val="24"/>
        </w:rPr>
        <w:t>en la obligación de protegerla y otorgarle todos los mecanismos necesarios para</w:t>
      </w:r>
      <w:r w:rsidRPr="00823449">
        <w:rPr>
          <w:rFonts w:ascii="Arial" w:hAnsi="Arial" w:cs="Arial"/>
          <w:sz w:val="24"/>
          <w:szCs w:val="24"/>
        </w:rPr>
        <w:t xml:space="preserve"> </w:t>
      </w:r>
      <w:r w:rsidRPr="00823449">
        <w:rPr>
          <w:rFonts w:ascii="Arial" w:hAnsi="Arial" w:cs="Arial"/>
          <w:sz w:val="24"/>
          <w:szCs w:val="24"/>
        </w:rPr>
        <w:t>su desarrollo y bienestar. Los miembros de la familia y especialmente las niñas,</w:t>
      </w:r>
      <w:r w:rsidRPr="00823449">
        <w:rPr>
          <w:rFonts w:ascii="Arial" w:hAnsi="Arial" w:cs="Arial"/>
          <w:sz w:val="24"/>
          <w:szCs w:val="24"/>
        </w:rPr>
        <w:t xml:space="preserve"> </w:t>
      </w:r>
      <w:r w:rsidRPr="00823449">
        <w:rPr>
          <w:rFonts w:ascii="Arial" w:hAnsi="Arial" w:cs="Arial"/>
          <w:sz w:val="24"/>
          <w:szCs w:val="24"/>
        </w:rPr>
        <w:t>niños o adolescentes, es el grupo más vulnerable y requieren que proporcionen</w:t>
      </w:r>
      <w:r w:rsidRPr="00823449">
        <w:rPr>
          <w:rFonts w:ascii="Arial" w:hAnsi="Arial" w:cs="Arial"/>
          <w:sz w:val="24"/>
          <w:szCs w:val="24"/>
        </w:rPr>
        <w:t xml:space="preserve"> </w:t>
      </w:r>
      <w:r w:rsidRPr="00823449">
        <w:rPr>
          <w:rFonts w:ascii="Arial" w:hAnsi="Arial" w:cs="Arial"/>
          <w:sz w:val="24"/>
          <w:szCs w:val="24"/>
        </w:rPr>
        <w:t>medios eficaces, instrumentos legales y políticos públicos que conlleven al</w:t>
      </w:r>
      <w:r w:rsidRPr="00823449">
        <w:rPr>
          <w:rFonts w:ascii="Arial" w:hAnsi="Arial" w:cs="Arial"/>
          <w:sz w:val="24"/>
          <w:szCs w:val="24"/>
        </w:rPr>
        <w:t xml:space="preserve"> </w:t>
      </w:r>
      <w:r w:rsidRPr="00823449">
        <w:rPr>
          <w:rFonts w:ascii="Arial" w:hAnsi="Arial" w:cs="Arial"/>
          <w:sz w:val="24"/>
          <w:szCs w:val="24"/>
        </w:rPr>
        <w:t>desarrollo integral de su personalidad.</w:t>
      </w:r>
      <w:r w:rsidRPr="00823449">
        <w:rPr>
          <w:rFonts w:ascii="Arial" w:hAnsi="Arial" w:cs="Arial"/>
          <w:sz w:val="24"/>
          <w:szCs w:val="24"/>
        </w:rPr>
        <w:t xml:space="preserve"> </w:t>
      </w:r>
      <w:r w:rsidRPr="00823449">
        <w:rPr>
          <w:rFonts w:ascii="Arial" w:hAnsi="Arial" w:cs="Arial"/>
          <w:sz w:val="24"/>
          <w:szCs w:val="24"/>
        </w:rPr>
        <w:t>El derecho a los alimentos es un</w:t>
      </w:r>
      <w:r w:rsidRPr="00823449">
        <w:rPr>
          <w:rFonts w:ascii="Arial" w:hAnsi="Arial" w:cs="Arial"/>
          <w:sz w:val="24"/>
          <w:szCs w:val="24"/>
        </w:rPr>
        <w:t xml:space="preserve"> </w:t>
      </w:r>
      <w:r w:rsidRPr="00823449">
        <w:rPr>
          <w:rFonts w:ascii="Arial" w:hAnsi="Arial" w:cs="Arial"/>
          <w:sz w:val="24"/>
          <w:szCs w:val="24"/>
        </w:rPr>
        <w:t>derecho humano fundamental que es indispensable para su desarrollo integral,</w:t>
      </w:r>
      <w:r w:rsidRPr="00823449">
        <w:rPr>
          <w:rFonts w:ascii="Arial" w:hAnsi="Arial" w:cs="Arial"/>
          <w:sz w:val="24"/>
          <w:szCs w:val="24"/>
        </w:rPr>
        <w:t xml:space="preserve"> </w:t>
      </w:r>
      <w:r w:rsidRPr="00823449">
        <w:rPr>
          <w:rFonts w:ascii="Arial" w:hAnsi="Arial" w:cs="Arial"/>
          <w:sz w:val="24"/>
          <w:szCs w:val="24"/>
        </w:rPr>
        <w:t>bienestar y futuro de los mismos</w:t>
      </w:r>
      <w:r w:rsidR="000F6D0B">
        <w:rPr>
          <w:rFonts w:ascii="Arial" w:hAnsi="Arial" w:cs="Arial"/>
          <w:sz w:val="24"/>
          <w:szCs w:val="24"/>
        </w:rPr>
        <w:t>.</w:t>
      </w:r>
    </w:p>
    <w:p w:rsidR="00823449" w:rsidRPr="00823449" w:rsidRDefault="00823449" w:rsidP="00823449">
      <w:pPr>
        <w:rPr>
          <w:rFonts w:ascii="Arial" w:hAnsi="Arial" w:cs="Arial"/>
          <w:sz w:val="24"/>
          <w:szCs w:val="24"/>
        </w:rPr>
      </w:pPr>
    </w:p>
    <w:p w:rsidR="00823449" w:rsidRPr="00823449" w:rsidRDefault="000F6D0B" w:rsidP="00823449">
      <w:pPr>
        <w:rPr>
          <w:rFonts w:ascii="Arial" w:hAnsi="Arial" w:cs="Arial"/>
          <w:sz w:val="24"/>
          <w:szCs w:val="24"/>
        </w:rPr>
      </w:pPr>
      <w:bookmarkStart w:id="0" w:name="_GoBack"/>
      <w:r w:rsidRPr="00823449">
        <w:rPr>
          <w:rFonts w:ascii="Arial" w:hAnsi="Arial" w:cs="Arial"/>
          <w:sz w:val="24"/>
          <w:szCs w:val="24"/>
        </w:rPr>
        <w:t>Licenciado(A) En Ciencias Jurídicas, 2016.</w:t>
      </w:r>
      <w:bookmarkEnd w:id="0"/>
    </w:p>
    <w:sectPr w:rsidR="00823449" w:rsidRPr="008234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449"/>
    <w:rsid w:val="000F6D0B"/>
    <w:rsid w:val="003066CC"/>
    <w:rsid w:val="00823449"/>
    <w:rsid w:val="008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704D98"/>
  <w15:chartTrackingRefBased/>
  <w15:docId w15:val="{C742ABDD-3F5F-4A97-BC17-5914C0486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138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2023-03-19T01:04:00Z</dcterms:created>
  <dcterms:modified xsi:type="dcterms:W3CDTF">2023-03-19T01:20:00Z</dcterms:modified>
</cp:coreProperties>
</file>