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2F" w:rsidRPr="00EA664A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Causas, efectos y consecuencias que trae a las arcas del Estado la evasión del impuesto a la transferencia de bienes muebles y a la prestación de servicios en el sector comercio, Departamento de Santa Ana, Municipio de Santa Ana</w:t>
      </w:r>
    </w:p>
    <w:p w:rsidR="00C952BE" w:rsidRDefault="00C952BE" w:rsidP="00FC692F">
      <w:pPr>
        <w:jc w:val="both"/>
        <w:rPr>
          <w:rFonts w:ascii="Arial" w:hAnsi="Arial" w:cs="Arial"/>
          <w:sz w:val="24"/>
          <w:szCs w:val="24"/>
        </w:rPr>
      </w:pPr>
    </w:p>
    <w:p w:rsidR="00651D4C" w:rsidRDefault="00FC692F" w:rsidP="00FC692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Barahona Torres, Mirna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Noemí</w:t>
      </w:r>
    </w:p>
    <w:p w:rsidR="00651D4C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Cáceres Trujillo, Fátima Patricia</w:t>
      </w:r>
    </w:p>
    <w:p w:rsidR="00651D4C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Duarte Rivas, Kenia Dolores</w:t>
      </w:r>
    </w:p>
    <w:p w:rsidR="00FC692F" w:rsidRPr="00EA664A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Pérez Ruperto, Néstor Omar</w:t>
      </w:r>
    </w:p>
    <w:p w:rsidR="00FC692F" w:rsidRPr="00EA664A" w:rsidRDefault="00FC692F" w:rsidP="00FC692F">
      <w:pPr>
        <w:jc w:val="both"/>
        <w:rPr>
          <w:rFonts w:ascii="Arial" w:hAnsi="Arial" w:cs="Arial"/>
          <w:sz w:val="24"/>
          <w:szCs w:val="24"/>
        </w:rPr>
      </w:pPr>
    </w:p>
    <w:p w:rsidR="00FC692F" w:rsidRPr="00EA664A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Mario Ernesto Martínez Aguilar</w:t>
      </w:r>
    </w:p>
    <w:p w:rsidR="00FC692F" w:rsidRDefault="00FC692F" w:rsidP="00FC692F">
      <w:pPr>
        <w:jc w:val="both"/>
        <w:rPr>
          <w:rFonts w:ascii="Arial" w:hAnsi="Arial" w:cs="Arial"/>
          <w:sz w:val="24"/>
          <w:szCs w:val="24"/>
        </w:rPr>
      </w:pPr>
    </w:p>
    <w:p w:rsidR="00FC692F" w:rsidRPr="00651D4C" w:rsidRDefault="00FC692F" w:rsidP="00651D4C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Ante la realidad social y económica en la cual se encuentra inmerso el mundo y consecuentemente El Salvador, se necesitan de nuevas estrategias que vayan encaminadas a un eficiente, mejor control y recolección de ingresos para las arcas del Estado, además, que éstas resuelvan de manera eficaz y pronto los fines para los cuales han sido creados, también se pretende evitar evasión de impuestos. </w:t>
      </w:r>
      <w:r w:rsidR="00651D4C" w:rsidRPr="00651D4C">
        <w:rPr>
          <w:rFonts w:ascii="Arial" w:hAnsi="Arial" w:cs="Arial"/>
          <w:sz w:val="24"/>
          <w:szCs w:val="24"/>
        </w:rPr>
        <w:t>El Estado salvadoreño sabedor que no cuenta con los suficientes recursos económicos para afrontar los gastos e inversiones que realiza para satisfacer las necesidades de la población salvadoreña</w:t>
      </w:r>
      <w:r w:rsidR="00651D4C">
        <w:rPr>
          <w:rFonts w:ascii="Arial" w:hAnsi="Arial" w:cs="Arial"/>
          <w:sz w:val="24"/>
          <w:szCs w:val="24"/>
        </w:rPr>
        <w:t>.</w:t>
      </w:r>
    </w:p>
    <w:p w:rsidR="00B936D3" w:rsidRDefault="00651D4C"/>
    <w:p w:rsidR="00FC692F" w:rsidRPr="00EA664A" w:rsidRDefault="00FC692F" w:rsidP="00FC692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</w:t>
      </w:r>
      <w:r w:rsidRPr="00EA664A">
        <w:rPr>
          <w:rFonts w:ascii="Arial" w:hAnsi="Arial" w:cs="Arial"/>
          <w:sz w:val="24"/>
          <w:szCs w:val="24"/>
        </w:rPr>
        <w:t xml:space="preserve"> en Contaduría Pública</w:t>
      </w:r>
      <w:r>
        <w:rPr>
          <w:rFonts w:ascii="Arial" w:hAnsi="Arial" w:cs="Arial"/>
          <w:sz w:val="24"/>
          <w:szCs w:val="24"/>
        </w:rPr>
        <w:t>, 2018.</w:t>
      </w:r>
    </w:p>
    <w:p w:rsidR="00FC692F" w:rsidRDefault="00FC692F"/>
    <w:sectPr w:rsidR="00FC69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92F"/>
    <w:rsid w:val="003066CC"/>
    <w:rsid w:val="00651D4C"/>
    <w:rsid w:val="008F3485"/>
    <w:rsid w:val="00C952BE"/>
    <w:rsid w:val="00FC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46E3DB"/>
  <w15:chartTrackingRefBased/>
  <w15:docId w15:val="{53CEFCBB-AF03-4A0C-AA67-8C490B931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2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156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2023-04-28T19:37:00Z</dcterms:created>
  <dcterms:modified xsi:type="dcterms:W3CDTF">2023-04-28T20:05:00Z</dcterms:modified>
</cp:coreProperties>
</file>