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024FB2" w:rsidRDefault="00024FB2" w:rsidP="00024FB2">
      <w:pPr>
        <w:jc w:val="both"/>
        <w:rPr>
          <w:rFonts w:ascii="Arial" w:hAnsi="Arial" w:cs="Arial"/>
          <w:sz w:val="24"/>
          <w:szCs w:val="24"/>
        </w:rPr>
      </w:pPr>
      <w:r w:rsidRPr="00024FB2">
        <w:rPr>
          <w:rFonts w:ascii="Arial" w:hAnsi="Arial" w:cs="Arial"/>
          <w:sz w:val="24"/>
          <w:szCs w:val="24"/>
        </w:rPr>
        <w:t xml:space="preserve">Efectividad </w:t>
      </w:r>
      <w:r>
        <w:rPr>
          <w:rFonts w:ascii="Arial" w:hAnsi="Arial" w:cs="Arial"/>
          <w:sz w:val="24"/>
          <w:szCs w:val="24"/>
        </w:rPr>
        <w:t>d</w:t>
      </w:r>
      <w:r w:rsidRPr="00024FB2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r</w:t>
      </w:r>
      <w:r w:rsidRPr="00024FB2">
        <w:rPr>
          <w:rFonts w:ascii="Arial" w:hAnsi="Arial" w:cs="Arial"/>
          <w:sz w:val="24"/>
          <w:szCs w:val="24"/>
        </w:rPr>
        <w:t xml:space="preserve">ecurso </w:t>
      </w:r>
      <w:r>
        <w:rPr>
          <w:rFonts w:ascii="Arial" w:hAnsi="Arial" w:cs="Arial"/>
          <w:sz w:val="24"/>
          <w:szCs w:val="24"/>
        </w:rPr>
        <w:t>d</w:t>
      </w:r>
      <w:r w:rsidRPr="00024FB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r</w:t>
      </w:r>
      <w:r w:rsidRPr="00024FB2">
        <w:rPr>
          <w:rFonts w:ascii="Arial" w:hAnsi="Arial" w:cs="Arial"/>
          <w:sz w:val="24"/>
          <w:szCs w:val="24"/>
        </w:rPr>
        <w:t xml:space="preserve">evocatoria </w:t>
      </w:r>
      <w:r>
        <w:rPr>
          <w:rFonts w:ascii="Arial" w:hAnsi="Arial" w:cs="Arial"/>
          <w:sz w:val="24"/>
          <w:szCs w:val="24"/>
        </w:rPr>
        <w:t>d</w:t>
      </w:r>
      <w:r w:rsidRPr="00024FB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024FB2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r</w:t>
      </w:r>
      <w:r w:rsidRPr="00024FB2">
        <w:rPr>
          <w:rFonts w:ascii="Arial" w:hAnsi="Arial" w:cs="Arial"/>
          <w:sz w:val="24"/>
          <w:szCs w:val="24"/>
        </w:rPr>
        <w:t xml:space="preserve">esolución </w:t>
      </w:r>
      <w:r>
        <w:rPr>
          <w:rFonts w:ascii="Arial" w:hAnsi="Arial" w:cs="Arial"/>
          <w:sz w:val="24"/>
          <w:szCs w:val="24"/>
        </w:rPr>
        <w:t>q</w:t>
      </w:r>
      <w:r w:rsidRPr="00024FB2">
        <w:rPr>
          <w:rFonts w:ascii="Arial" w:hAnsi="Arial" w:cs="Arial"/>
          <w:sz w:val="24"/>
          <w:szCs w:val="24"/>
        </w:rPr>
        <w:t xml:space="preserve">ue </w:t>
      </w:r>
      <w:r>
        <w:rPr>
          <w:rFonts w:ascii="Arial" w:hAnsi="Arial" w:cs="Arial"/>
          <w:sz w:val="24"/>
          <w:szCs w:val="24"/>
        </w:rPr>
        <w:t>d</w:t>
      </w:r>
      <w:r w:rsidRPr="00024FB2">
        <w:rPr>
          <w:rFonts w:ascii="Arial" w:hAnsi="Arial" w:cs="Arial"/>
          <w:sz w:val="24"/>
          <w:szCs w:val="24"/>
        </w:rPr>
        <w:t xml:space="preserve">eclara </w:t>
      </w:r>
      <w:r>
        <w:rPr>
          <w:rFonts w:ascii="Arial" w:hAnsi="Arial" w:cs="Arial"/>
          <w:sz w:val="24"/>
          <w:szCs w:val="24"/>
        </w:rPr>
        <w:t>i</w:t>
      </w:r>
      <w:r w:rsidRPr="00024FB2">
        <w:rPr>
          <w:rFonts w:ascii="Arial" w:hAnsi="Arial" w:cs="Arial"/>
          <w:sz w:val="24"/>
          <w:szCs w:val="24"/>
        </w:rPr>
        <w:t>nadm</w:t>
      </w:r>
      <w:r>
        <w:rPr>
          <w:rFonts w:ascii="Arial" w:hAnsi="Arial" w:cs="Arial"/>
          <w:sz w:val="24"/>
          <w:szCs w:val="24"/>
        </w:rPr>
        <w:t>i</w:t>
      </w:r>
      <w:r w:rsidRPr="00024FB2">
        <w:rPr>
          <w:rFonts w:ascii="Arial" w:hAnsi="Arial" w:cs="Arial"/>
          <w:sz w:val="24"/>
          <w:szCs w:val="24"/>
        </w:rPr>
        <w:t xml:space="preserve">sible </w:t>
      </w:r>
      <w:r>
        <w:rPr>
          <w:rFonts w:ascii="Arial" w:hAnsi="Arial" w:cs="Arial"/>
          <w:sz w:val="24"/>
          <w:szCs w:val="24"/>
        </w:rPr>
        <w:t>l</w:t>
      </w:r>
      <w:r w:rsidRPr="00024FB2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d</w:t>
      </w:r>
      <w:r w:rsidRPr="00024FB2">
        <w:rPr>
          <w:rFonts w:ascii="Arial" w:hAnsi="Arial" w:cs="Arial"/>
          <w:sz w:val="24"/>
          <w:szCs w:val="24"/>
        </w:rPr>
        <w:t xml:space="preserve">emanda </w:t>
      </w:r>
      <w:r>
        <w:rPr>
          <w:rFonts w:ascii="Arial" w:hAnsi="Arial" w:cs="Arial"/>
          <w:sz w:val="24"/>
          <w:szCs w:val="24"/>
        </w:rPr>
        <w:t>e</w:t>
      </w:r>
      <w:r w:rsidRPr="00024FB2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m</w:t>
      </w:r>
      <w:r w:rsidRPr="00024FB2">
        <w:rPr>
          <w:rFonts w:ascii="Arial" w:hAnsi="Arial" w:cs="Arial"/>
          <w:sz w:val="24"/>
          <w:szCs w:val="24"/>
        </w:rPr>
        <w:t xml:space="preserve">ateria </w:t>
      </w:r>
      <w:r>
        <w:rPr>
          <w:rFonts w:ascii="Arial" w:hAnsi="Arial" w:cs="Arial"/>
          <w:sz w:val="24"/>
          <w:szCs w:val="24"/>
        </w:rPr>
        <w:t>c</w:t>
      </w:r>
      <w:r w:rsidRPr="00024FB2">
        <w:rPr>
          <w:rFonts w:ascii="Arial" w:hAnsi="Arial" w:cs="Arial"/>
          <w:sz w:val="24"/>
          <w:szCs w:val="24"/>
        </w:rPr>
        <w:t xml:space="preserve">ivil </w:t>
      </w:r>
      <w:r>
        <w:rPr>
          <w:rFonts w:ascii="Arial" w:hAnsi="Arial" w:cs="Arial"/>
          <w:sz w:val="24"/>
          <w:szCs w:val="24"/>
        </w:rPr>
        <w:t>y</w:t>
      </w:r>
      <w:r w:rsidRPr="00024FB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m</w:t>
      </w:r>
      <w:r w:rsidRPr="00024FB2">
        <w:rPr>
          <w:rFonts w:ascii="Arial" w:hAnsi="Arial" w:cs="Arial"/>
          <w:sz w:val="24"/>
          <w:szCs w:val="24"/>
        </w:rPr>
        <w:t>ercantil</w:t>
      </w:r>
    </w:p>
    <w:p w:rsidR="00167618" w:rsidRPr="00024FB2" w:rsidRDefault="00167618" w:rsidP="00024FB2">
      <w:pPr>
        <w:rPr>
          <w:rFonts w:ascii="Arial" w:hAnsi="Arial" w:cs="Arial"/>
          <w:sz w:val="24"/>
          <w:szCs w:val="24"/>
        </w:rPr>
      </w:pPr>
    </w:p>
    <w:p w:rsidR="00167618" w:rsidRPr="00024FB2" w:rsidRDefault="00024FB2" w:rsidP="00024FB2">
      <w:pPr>
        <w:rPr>
          <w:rFonts w:ascii="Arial" w:hAnsi="Arial" w:cs="Arial"/>
          <w:sz w:val="24"/>
          <w:szCs w:val="24"/>
        </w:rPr>
      </w:pPr>
      <w:r w:rsidRPr="00024FB2">
        <w:rPr>
          <w:rFonts w:ascii="Arial" w:hAnsi="Arial" w:cs="Arial"/>
          <w:sz w:val="24"/>
          <w:szCs w:val="24"/>
        </w:rPr>
        <w:t>Girón Zaldaña, Wendy Sofía</w:t>
      </w:r>
    </w:p>
    <w:p w:rsidR="00167618" w:rsidRPr="00024FB2" w:rsidRDefault="00024FB2" w:rsidP="00024FB2">
      <w:pPr>
        <w:rPr>
          <w:rFonts w:ascii="Arial" w:hAnsi="Arial" w:cs="Arial"/>
          <w:sz w:val="24"/>
          <w:szCs w:val="24"/>
        </w:rPr>
      </w:pPr>
      <w:r w:rsidRPr="00024FB2">
        <w:rPr>
          <w:rFonts w:ascii="Arial" w:hAnsi="Arial" w:cs="Arial"/>
          <w:sz w:val="24"/>
          <w:szCs w:val="24"/>
        </w:rPr>
        <w:t>Gómez Merlos, Diana Carolina</w:t>
      </w:r>
    </w:p>
    <w:p w:rsidR="00167618" w:rsidRPr="00024FB2" w:rsidRDefault="00024FB2" w:rsidP="00024FB2">
      <w:pPr>
        <w:rPr>
          <w:rFonts w:ascii="Arial" w:hAnsi="Arial" w:cs="Arial"/>
          <w:sz w:val="24"/>
          <w:szCs w:val="24"/>
        </w:rPr>
      </w:pPr>
      <w:r w:rsidRPr="00024FB2">
        <w:rPr>
          <w:rFonts w:ascii="Arial" w:hAnsi="Arial" w:cs="Arial"/>
          <w:sz w:val="24"/>
          <w:szCs w:val="24"/>
        </w:rPr>
        <w:t xml:space="preserve">Jiménez </w:t>
      </w:r>
      <w:r>
        <w:rPr>
          <w:rFonts w:ascii="Arial" w:hAnsi="Arial" w:cs="Arial"/>
          <w:sz w:val="24"/>
          <w:szCs w:val="24"/>
        </w:rPr>
        <w:t>d</w:t>
      </w:r>
      <w:r w:rsidRPr="00024FB2">
        <w:rPr>
          <w:rFonts w:ascii="Arial" w:hAnsi="Arial" w:cs="Arial"/>
          <w:sz w:val="24"/>
          <w:szCs w:val="24"/>
        </w:rPr>
        <w:t xml:space="preserve">e Orantes, Julia </w:t>
      </w:r>
      <w:r>
        <w:rPr>
          <w:rFonts w:ascii="Arial" w:hAnsi="Arial" w:cs="Arial"/>
          <w:sz w:val="24"/>
          <w:szCs w:val="24"/>
        </w:rPr>
        <w:t>d</w:t>
      </w:r>
      <w:r w:rsidRPr="00024FB2">
        <w:rPr>
          <w:rFonts w:ascii="Arial" w:hAnsi="Arial" w:cs="Arial"/>
          <w:sz w:val="24"/>
          <w:szCs w:val="24"/>
        </w:rPr>
        <w:t>el Carmen</w:t>
      </w:r>
    </w:p>
    <w:p w:rsidR="00167618" w:rsidRPr="00024FB2" w:rsidRDefault="00024FB2" w:rsidP="00024FB2">
      <w:pPr>
        <w:rPr>
          <w:rFonts w:ascii="Arial" w:hAnsi="Arial" w:cs="Arial"/>
          <w:sz w:val="24"/>
          <w:szCs w:val="24"/>
        </w:rPr>
      </w:pPr>
      <w:r w:rsidRPr="00024FB2">
        <w:rPr>
          <w:rFonts w:ascii="Arial" w:hAnsi="Arial" w:cs="Arial"/>
          <w:sz w:val="24"/>
          <w:szCs w:val="24"/>
        </w:rPr>
        <w:t>Mejía Lemus, Yesenia Elizabeth</w:t>
      </w:r>
    </w:p>
    <w:p w:rsidR="00167618" w:rsidRPr="00167618" w:rsidRDefault="00167618" w:rsidP="00167618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167618" w:rsidRDefault="00167618" w:rsidP="00024FB2">
      <w:pPr>
        <w:jc w:val="both"/>
        <w:rPr>
          <w:rFonts w:ascii="Arial" w:hAnsi="Arial" w:cs="Arial"/>
          <w:sz w:val="24"/>
          <w:szCs w:val="24"/>
        </w:rPr>
      </w:pPr>
      <w:r w:rsidRPr="00167618">
        <w:rPr>
          <w:rFonts w:ascii="Arial" w:hAnsi="Arial" w:cs="Arial"/>
          <w:sz w:val="24"/>
          <w:szCs w:val="24"/>
        </w:rPr>
        <w:t>El Recurso de Revocatoria es un Medio de Impugnación que se da a la</w:t>
      </w:r>
      <w:r w:rsidRPr="00167618">
        <w:rPr>
          <w:rFonts w:ascii="Arial" w:hAnsi="Arial" w:cs="Arial"/>
          <w:sz w:val="24"/>
          <w:szCs w:val="24"/>
        </w:rPr>
        <w:t xml:space="preserve"> </w:t>
      </w:r>
      <w:r w:rsidRPr="00167618">
        <w:rPr>
          <w:rFonts w:ascii="Arial" w:hAnsi="Arial" w:cs="Arial"/>
          <w:sz w:val="24"/>
          <w:szCs w:val="24"/>
        </w:rPr>
        <w:t>parte agraviada, para que sea interpuesto ante la misma instancia que dictó la</w:t>
      </w:r>
      <w:r w:rsidRPr="00167618">
        <w:rPr>
          <w:rFonts w:ascii="Arial" w:hAnsi="Arial" w:cs="Arial"/>
          <w:sz w:val="24"/>
          <w:szCs w:val="24"/>
        </w:rPr>
        <w:t xml:space="preserve"> </w:t>
      </w:r>
      <w:r w:rsidRPr="00167618">
        <w:rPr>
          <w:rFonts w:ascii="Arial" w:hAnsi="Arial" w:cs="Arial"/>
          <w:sz w:val="24"/>
          <w:szCs w:val="24"/>
        </w:rPr>
        <w:t>resolución,</w:t>
      </w:r>
      <w:r w:rsidR="00024FB2">
        <w:rPr>
          <w:rFonts w:ascii="Arial" w:hAnsi="Arial" w:cs="Arial"/>
          <w:sz w:val="24"/>
          <w:szCs w:val="24"/>
        </w:rPr>
        <w:t xml:space="preserve"> l</w:t>
      </w:r>
      <w:r w:rsidRPr="00167618">
        <w:rPr>
          <w:rFonts w:ascii="Arial" w:hAnsi="Arial" w:cs="Arial"/>
          <w:sz w:val="24"/>
          <w:szCs w:val="24"/>
        </w:rPr>
        <w:t>a temática de estudio ha sido estudiada y analizada desde un punto de</w:t>
      </w:r>
      <w:r w:rsidRPr="00167618">
        <w:rPr>
          <w:rFonts w:ascii="Arial" w:hAnsi="Arial" w:cs="Arial"/>
          <w:sz w:val="24"/>
          <w:szCs w:val="24"/>
        </w:rPr>
        <w:t xml:space="preserve"> </w:t>
      </w:r>
      <w:r w:rsidRPr="00167618">
        <w:rPr>
          <w:rFonts w:ascii="Arial" w:hAnsi="Arial" w:cs="Arial"/>
          <w:sz w:val="24"/>
          <w:szCs w:val="24"/>
        </w:rPr>
        <w:t>vista jurídico, cuando el recurso de revocatoria no cumpla la función para la que</w:t>
      </w:r>
      <w:r w:rsidRPr="00167618">
        <w:rPr>
          <w:rFonts w:ascii="Arial" w:hAnsi="Arial" w:cs="Arial"/>
          <w:sz w:val="24"/>
          <w:szCs w:val="24"/>
        </w:rPr>
        <w:t xml:space="preserve"> </w:t>
      </w:r>
      <w:r w:rsidRPr="00167618">
        <w:rPr>
          <w:rFonts w:ascii="Arial" w:hAnsi="Arial" w:cs="Arial"/>
          <w:sz w:val="24"/>
          <w:szCs w:val="24"/>
        </w:rPr>
        <w:t>fue creado. Ya que existe el temor o la ignorancia para la interposición del recurso</w:t>
      </w:r>
      <w:r w:rsidRPr="00167618">
        <w:rPr>
          <w:rFonts w:ascii="Arial" w:hAnsi="Arial" w:cs="Arial"/>
          <w:sz w:val="24"/>
          <w:szCs w:val="24"/>
        </w:rPr>
        <w:t xml:space="preserve"> </w:t>
      </w:r>
      <w:r w:rsidRPr="00167618">
        <w:rPr>
          <w:rFonts w:ascii="Arial" w:hAnsi="Arial" w:cs="Arial"/>
          <w:sz w:val="24"/>
          <w:szCs w:val="24"/>
        </w:rPr>
        <w:t>porque se presenta ante el mismo tribunal que emitió la resolución impugnada.</w:t>
      </w:r>
      <w:r w:rsidRPr="00167618">
        <w:rPr>
          <w:rFonts w:ascii="Arial" w:hAnsi="Arial" w:cs="Arial"/>
          <w:sz w:val="24"/>
          <w:szCs w:val="24"/>
        </w:rPr>
        <w:t xml:space="preserve"> </w:t>
      </w:r>
      <w:r w:rsidR="00024FB2">
        <w:rPr>
          <w:rFonts w:ascii="Arial" w:hAnsi="Arial" w:cs="Arial"/>
          <w:sz w:val="24"/>
          <w:szCs w:val="24"/>
        </w:rPr>
        <w:t>L</w:t>
      </w:r>
      <w:r w:rsidRPr="00167618">
        <w:rPr>
          <w:rFonts w:ascii="Arial" w:hAnsi="Arial" w:cs="Arial"/>
          <w:sz w:val="24"/>
          <w:szCs w:val="24"/>
        </w:rPr>
        <w:t>a relevancia jurídica que se tiene ante el uso del recurso de revocatoria</w:t>
      </w:r>
      <w:r w:rsidRPr="00167618">
        <w:rPr>
          <w:rFonts w:ascii="Arial" w:hAnsi="Arial" w:cs="Arial"/>
          <w:sz w:val="24"/>
          <w:szCs w:val="24"/>
        </w:rPr>
        <w:t xml:space="preserve"> </w:t>
      </w:r>
      <w:r w:rsidRPr="00167618">
        <w:rPr>
          <w:rFonts w:ascii="Arial" w:hAnsi="Arial" w:cs="Arial"/>
          <w:sz w:val="24"/>
          <w:szCs w:val="24"/>
        </w:rPr>
        <w:t>para así determinar la eficacia del mismo.</w:t>
      </w:r>
    </w:p>
    <w:p w:rsidR="00024FB2" w:rsidRPr="00167618" w:rsidRDefault="00024FB2" w:rsidP="00167618">
      <w:pPr>
        <w:jc w:val="both"/>
        <w:rPr>
          <w:rFonts w:ascii="Arial" w:hAnsi="Arial" w:cs="Arial"/>
          <w:sz w:val="24"/>
          <w:szCs w:val="24"/>
        </w:rPr>
      </w:pPr>
    </w:p>
    <w:p w:rsidR="00167618" w:rsidRPr="00167618" w:rsidRDefault="00167618" w:rsidP="00167618">
      <w:pPr>
        <w:jc w:val="both"/>
        <w:rPr>
          <w:rFonts w:ascii="Arial" w:hAnsi="Arial" w:cs="Arial"/>
          <w:sz w:val="24"/>
          <w:szCs w:val="24"/>
        </w:rPr>
      </w:pPr>
      <w:r w:rsidRPr="00167618">
        <w:rPr>
          <w:rFonts w:ascii="Arial" w:hAnsi="Arial" w:cs="Arial"/>
          <w:sz w:val="24"/>
          <w:szCs w:val="24"/>
        </w:rPr>
        <w:t>Licenciatura en Ciencias Jurídicas, 2016.</w:t>
      </w:r>
    </w:p>
    <w:p w:rsidR="00167618" w:rsidRPr="00167618" w:rsidRDefault="00167618" w:rsidP="00167618">
      <w:pPr>
        <w:jc w:val="both"/>
        <w:rPr>
          <w:rFonts w:ascii="Arial" w:hAnsi="Arial" w:cs="Arial"/>
          <w:sz w:val="24"/>
          <w:szCs w:val="24"/>
        </w:rPr>
      </w:pPr>
    </w:p>
    <w:sectPr w:rsidR="00167618" w:rsidRPr="0016761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618"/>
    <w:rsid w:val="00024FB2"/>
    <w:rsid w:val="00167618"/>
    <w:rsid w:val="003066C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9CAE43C"/>
  <w15:chartTrackingRefBased/>
  <w15:docId w15:val="{766CAA80-F9D1-40B8-B03A-7872EA6C1E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135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2023-03-19T23:09:00Z</dcterms:created>
  <dcterms:modified xsi:type="dcterms:W3CDTF">2023-03-19T23:28:00Z</dcterms:modified>
</cp:coreProperties>
</file>