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5EA9" w:rsidRDefault="00342C74" w:rsidP="007A5EA9">
      <w:r>
        <w:rPr>
          <w:noProof/>
          <w:lang w:val="es-ES"/>
        </w:rPr>
        <w:drawing>
          <wp:anchor distT="0" distB="0" distL="114300" distR="114300" simplePos="0" relativeHeight="251707392" behindDoc="0" locked="0" layoutInCell="1" allowOverlap="1">
            <wp:simplePos x="0" y="0"/>
            <wp:positionH relativeFrom="column">
              <wp:posOffset>5181600</wp:posOffset>
            </wp:positionH>
            <wp:positionV relativeFrom="paragraph">
              <wp:posOffset>-685800</wp:posOffset>
            </wp:positionV>
            <wp:extent cx="990600" cy="990600"/>
            <wp:effectExtent l="19050" t="0" r="0" b="0"/>
            <wp:wrapNone/>
            <wp:docPr id="122" name="Imagen 122" descr="maest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maestria"/>
                    <pic:cNvPicPr>
                      <a:picLocks noChangeAspect="1" noChangeArrowheads="1"/>
                    </pic:cNvPicPr>
                  </pic:nvPicPr>
                  <pic:blipFill>
                    <a:blip r:embed="rId7" cstate="print"/>
                    <a:srcRect/>
                    <a:stretch>
                      <a:fillRect/>
                    </a:stretch>
                  </pic:blipFill>
                  <pic:spPr bwMode="auto">
                    <a:xfrm>
                      <a:off x="0" y="0"/>
                      <a:ext cx="990600" cy="990600"/>
                    </a:xfrm>
                    <a:prstGeom prst="rect">
                      <a:avLst/>
                    </a:prstGeom>
                    <a:noFill/>
                  </pic:spPr>
                </pic:pic>
              </a:graphicData>
            </a:graphic>
          </wp:anchor>
        </w:drawing>
      </w:r>
      <w:r>
        <w:rPr>
          <w:noProof/>
          <w:lang w:val="es-ES"/>
        </w:rPr>
        <w:drawing>
          <wp:anchor distT="0" distB="0" distL="114300" distR="114300" simplePos="0" relativeHeight="251703296" behindDoc="0" locked="0" layoutInCell="0" allowOverlap="1">
            <wp:simplePos x="0" y="0"/>
            <wp:positionH relativeFrom="column">
              <wp:posOffset>-800100</wp:posOffset>
            </wp:positionH>
            <wp:positionV relativeFrom="paragraph">
              <wp:posOffset>-554990</wp:posOffset>
            </wp:positionV>
            <wp:extent cx="1257300" cy="1488440"/>
            <wp:effectExtent l="19050" t="0" r="0" b="0"/>
            <wp:wrapNone/>
            <wp:docPr id="118" name="Imagen 118" descr="minerv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minerva4"/>
                    <pic:cNvPicPr>
                      <a:picLocks noChangeAspect="1" noChangeArrowheads="1"/>
                    </pic:cNvPicPr>
                  </pic:nvPicPr>
                  <pic:blipFill>
                    <a:blip r:embed="rId8" cstate="print"/>
                    <a:srcRect/>
                    <a:stretch>
                      <a:fillRect/>
                    </a:stretch>
                  </pic:blipFill>
                  <pic:spPr bwMode="auto">
                    <a:xfrm>
                      <a:off x="0" y="0"/>
                      <a:ext cx="1257300" cy="1488440"/>
                    </a:xfrm>
                    <a:prstGeom prst="rect">
                      <a:avLst/>
                    </a:prstGeom>
                    <a:noFill/>
                  </pic:spPr>
                </pic:pic>
              </a:graphicData>
            </a:graphic>
          </wp:anchor>
        </w:drawing>
      </w:r>
      <w:r w:rsidR="007A5EA9">
        <w:rPr>
          <w:noProof/>
        </w:rPr>
        <w:pict>
          <v:rect id="_x0000_s1144" style="position:absolute;margin-left:36pt;margin-top:-25.65pt;width:405pt;height:99pt;z-index:251705344;mso-position-horizontal-relative:text;mso-position-vertical-relative:text" o:allowincell="f" strokecolor="white">
            <v:textbox style="mso-next-textbox:#_x0000_s1144">
              <w:txbxContent>
                <w:p w:rsidR="007A5EA9" w:rsidRDefault="007A5EA9" w:rsidP="007A5EA9">
                  <w:pPr>
                    <w:jc w:val="center"/>
                    <w:rPr>
                      <w:rFonts w:ascii="Arial Unicode MS" w:eastAsia="Arial Unicode MS" w:hAnsi="Arial Unicode MS"/>
                      <w:b/>
                      <w:color w:val="FFFFFF"/>
                      <w:lang w:val="es-ES_tradnl"/>
                    </w:rPr>
                  </w:pPr>
                  <w:r>
                    <w:rPr>
                      <w:b/>
                      <w:color w:val="FFFFFF"/>
                      <w:lang w:val="es-ES_tradnl"/>
                    </w:rPr>
                    <w:t>UNIVERSIDAD DE EL SALVADOR</w:t>
                  </w:r>
                </w:p>
                <w:p w:rsidR="007A5EA9" w:rsidRDefault="007A5EA9" w:rsidP="007A5EA9">
                  <w:pPr>
                    <w:jc w:val="center"/>
                    <w:rPr>
                      <w:b/>
                      <w:color w:val="FFFFFF"/>
                      <w:lang w:val="es-ES_tradnl"/>
                    </w:rPr>
                  </w:pPr>
                  <w:r>
                    <w:rPr>
                      <w:b/>
                      <w:color w:val="FFFFFF"/>
                      <w:lang w:val="es-ES_tradnl"/>
                    </w:rPr>
                    <w:t>MAESTRIA EN SALUD PÚBLICA</w:t>
                  </w:r>
                </w:p>
                <w:p w:rsidR="007A5EA9" w:rsidRDefault="007A5EA9" w:rsidP="007A5EA9">
                  <w:pPr>
                    <w:jc w:val="center"/>
                    <w:rPr>
                      <w:rFonts w:ascii="Arial" w:hAnsi="Arial"/>
                      <w:b/>
                      <w:vanish/>
                      <w:color w:val="00FFFF"/>
                      <w:sz w:val="40"/>
                    </w:rPr>
                  </w:pPr>
                </w:p>
                <w:p w:rsidR="007A5EA9" w:rsidRDefault="007A5EA9" w:rsidP="007A5EA9">
                  <w:pPr>
                    <w:jc w:val="center"/>
                    <w:rPr>
                      <w:rFonts w:ascii="Arial" w:hAnsi="Arial"/>
                      <w:b/>
                      <w:sz w:val="40"/>
                    </w:rPr>
                  </w:pPr>
                  <w:r>
                    <w:rPr>
                      <w:rFonts w:ascii="Arial" w:hAnsi="Arial"/>
                      <w:b/>
                      <w:sz w:val="40"/>
                    </w:rPr>
                    <w:t>UNIVERSIDAD DE EL SALVADOR</w:t>
                  </w:r>
                </w:p>
                <w:p w:rsidR="007A5EA9" w:rsidRDefault="007A5EA9" w:rsidP="007A5EA9">
                  <w:pPr>
                    <w:jc w:val="center"/>
                    <w:rPr>
                      <w:rFonts w:ascii="Arial" w:hAnsi="Arial"/>
                      <w:b/>
                      <w:sz w:val="40"/>
                    </w:rPr>
                  </w:pPr>
                  <w:r>
                    <w:rPr>
                      <w:rFonts w:ascii="Arial" w:hAnsi="Arial"/>
                      <w:b/>
                      <w:sz w:val="40"/>
                    </w:rPr>
                    <w:t>FACULTAD DE MEDICINA</w:t>
                  </w:r>
                </w:p>
                <w:p w:rsidR="007A5EA9" w:rsidRDefault="007A5EA9" w:rsidP="007A5EA9">
                  <w:pPr>
                    <w:jc w:val="center"/>
                    <w:rPr>
                      <w:rFonts w:ascii="Comic Sans MS" w:hAnsi="Comic Sans MS"/>
                      <w:b/>
                      <w:sz w:val="40"/>
                    </w:rPr>
                  </w:pPr>
                  <w:r>
                    <w:rPr>
                      <w:rFonts w:ascii="Arial" w:hAnsi="Arial"/>
                      <w:b/>
                      <w:sz w:val="40"/>
                    </w:rPr>
                    <w:t>MAESTRIA EN SALUD PÚBLICA</w:t>
                  </w:r>
                </w:p>
              </w:txbxContent>
            </v:textbox>
          </v:rect>
        </w:pict>
      </w:r>
      <w:r w:rsidR="007A5EA9">
        <w:tab/>
      </w:r>
    </w:p>
    <w:p w:rsidR="007A5EA9" w:rsidRDefault="007A5EA9" w:rsidP="007A5EA9"/>
    <w:p w:rsidR="007A5EA9" w:rsidRDefault="007A5EA9" w:rsidP="007A5EA9"/>
    <w:p w:rsidR="007A5EA9" w:rsidRDefault="007A5EA9" w:rsidP="007A5EA9"/>
    <w:p w:rsidR="007A5EA9" w:rsidRDefault="007A5EA9" w:rsidP="007A5EA9">
      <w:r>
        <w:tab/>
      </w:r>
      <w:r>
        <w:tab/>
      </w:r>
    </w:p>
    <w:p w:rsidR="007A5EA9" w:rsidRDefault="007A5EA9" w:rsidP="007A5EA9"/>
    <w:p w:rsidR="007A5EA9" w:rsidRDefault="007A5EA9" w:rsidP="007A5EA9"/>
    <w:p w:rsidR="007A5EA9" w:rsidRDefault="007A5EA9" w:rsidP="007A5EA9">
      <w:r>
        <w:rPr>
          <w:noProof/>
        </w:rPr>
        <w:pict>
          <v:line id="_x0000_s1143" style="position:absolute;z-index:251704320" from="-81pt,1.85pt" to="513pt,1.85pt" o:allowincell="f" strokecolor="red" strokeweight="6pt">
            <v:stroke linestyle="thickBetweenThin"/>
          </v:line>
        </w:pict>
      </w:r>
    </w:p>
    <w:p w:rsidR="007A5EA9" w:rsidRDefault="007A5EA9" w:rsidP="007A5EA9">
      <w:r>
        <w:rPr>
          <w:noProof/>
        </w:rPr>
        <w:pict>
          <v:rect id="_x0000_s1145" style="position:absolute;margin-left:-106.65pt;margin-top:2.75pt;width:640.65pt;height:676.8pt;z-index:251706368" o:allowincell="f" fillcolor="olive" strokecolor="white">
            <v:fill color2="fill lighten(0)" method="linear sigma" type="gradient"/>
            <v:textbox style="mso-next-textbox:#_x0000_s1145">
              <w:txbxContent>
                <w:p w:rsidR="007A5EA9" w:rsidRDefault="007A5EA9" w:rsidP="007A5EA9"/>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Pr="00391373" w:rsidRDefault="00391373" w:rsidP="007A5EA9">
                  <w:pPr>
                    <w:pStyle w:val="Textoindependiente"/>
                    <w:rPr>
                      <w:rFonts w:ascii="Arial" w:hAnsi="Arial"/>
                      <w:b/>
                    </w:rPr>
                  </w:pPr>
                  <w:r w:rsidRPr="00391373">
                    <w:rPr>
                      <w:rFonts w:ascii="Arial" w:hAnsi="Arial"/>
                      <w:b/>
                    </w:rPr>
                    <w:t xml:space="preserve">TRABAJO DE GRADUACION PARA OPTAR LA GRADO DE </w:t>
                  </w:r>
                </w:p>
                <w:p w:rsidR="007A5EA9" w:rsidRPr="00391373" w:rsidRDefault="00391373" w:rsidP="007A5EA9">
                  <w:pPr>
                    <w:pStyle w:val="Textoindependiente"/>
                    <w:rPr>
                      <w:rFonts w:ascii="Arial" w:hAnsi="Arial"/>
                      <w:b/>
                    </w:rPr>
                  </w:pPr>
                  <w:r w:rsidRPr="00391373">
                    <w:rPr>
                      <w:rFonts w:ascii="Arial" w:hAnsi="Arial"/>
                      <w:b/>
                    </w:rPr>
                    <w:t>MAESTRO DE SALUD PUBLICA</w:t>
                  </w:r>
                </w:p>
                <w:p w:rsidR="007A5EA9" w:rsidRPr="00391373" w:rsidRDefault="007A5EA9" w:rsidP="007A5EA9">
                  <w:pPr>
                    <w:pStyle w:val="Textoindependiente"/>
                    <w:rPr>
                      <w:rFonts w:ascii="Arial" w:hAnsi="Arial"/>
                      <w:b/>
                      <w:sz w:val="36"/>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ind w:left="1416"/>
                    <w:rPr>
                      <w:rFonts w:ascii="Arial" w:hAnsi="Arial"/>
                      <w:b/>
                      <w:sz w:val="36"/>
                    </w:rPr>
                  </w:pPr>
                  <w:r>
                    <w:rPr>
                      <w:rFonts w:ascii="Arial" w:hAnsi="Arial"/>
                      <w:b/>
                      <w:sz w:val="36"/>
                    </w:rPr>
                    <w:t xml:space="preserve">“CONDICIONES DE EQUIDAD EN </w:t>
                  </w:r>
                  <w:smartTag w:uri="urn:schemas-microsoft-com:office:smarttags" w:element="PersonName">
                    <w:smartTagPr>
                      <w:attr w:name="ProductID" w:val="LA DISPONIBILIDAD Y"/>
                    </w:smartTagPr>
                    <w:r>
                      <w:rPr>
                        <w:rFonts w:ascii="Arial" w:hAnsi="Arial"/>
                        <w:b/>
                        <w:sz w:val="36"/>
                      </w:rPr>
                      <w:t>LA DISPONIBILIDAD Y</w:t>
                    </w:r>
                  </w:smartTag>
                </w:p>
                <w:p w:rsidR="007A5EA9" w:rsidRDefault="007A5EA9" w:rsidP="007A5EA9">
                  <w:pPr>
                    <w:pStyle w:val="Textoindependiente"/>
                    <w:ind w:left="1416"/>
                    <w:rPr>
                      <w:rFonts w:ascii="Arial" w:hAnsi="Arial"/>
                      <w:b/>
                      <w:sz w:val="36"/>
                    </w:rPr>
                  </w:pPr>
                  <w:r>
                    <w:rPr>
                      <w:rFonts w:ascii="Arial" w:hAnsi="Arial"/>
                      <w:b/>
                      <w:sz w:val="36"/>
                    </w:rPr>
                    <w:t>UTILIZACIÓN DE LOS SERVICIOS DE SALUD EN</w:t>
                  </w:r>
                </w:p>
                <w:p w:rsidR="007A5EA9" w:rsidRDefault="007A5EA9" w:rsidP="007A5EA9">
                  <w:pPr>
                    <w:pStyle w:val="Textoindependiente"/>
                    <w:ind w:left="1416"/>
                    <w:rPr>
                      <w:rFonts w:ascii="Arial" w:hAnsi="Arial"/>
                      <w:b/>
                      <w:sz w:val="36"/>
                    </w:rPr>
                  </w:pPr>
                  <w:r>
                    <w:rPr>
                      <w:rFonts w:ascii="Arial" w:hAnsi="Arial"/>
                      <w:b/>
                      <w:sz w:val="36"/>
                    </w:rPr>
                    <w:t xml:space="preserve">EL SALVADOR </w:t>
                  </w:r>
                  <w:smartTag w:uri="urn:schemas-microsoft-com:office:smarttags" w:element="metricconverter">
                    <w:smartTagPr>
                      <w:attr w:name="ProductID" w:val="2001”"/>
                    </w:smartTagPr>
                    <w:r>
                      <w:rPr>
                        <w:rFonts w:ascii="Arial" w:hAnsi="Arial"/>
                        <w:b/>
                        <w:sz w:val="36"/>
                      </w:rPr>
                      <w:t>2001”</w:t>
                    </w:r>
                  </w:smartTag>
                </w:p>
                <w:p w:rsidR="007A5EA9" w:rsidRDefault="007A5EA9" w:rsidP="007A5EA9">
                  <w:pPr>
                    <w:pStyle w:val="Textoindependiente"/>
                    <w:ind w:left="1416"/>
                    <w:rPr>
                      <w:rFonts w:ascii="Arial" w:hAnsi="Arial"/>
                      <w:b/>
                      <w:sz w:val="36"/>
                    </w:rPr>
                  </w:pPr>
                </w:p>
                <w:p w:rsidR="007A5EA9" w:rsidRDefault="007A5EA9" w:rsidP="007A5EA9">
                  <w:pPr>
                    <w:pStyle w:val="Textoindependiente"/>
                    <w:jc w:val="left"/>
                    <w:rPr>
                      <w:rFonts w:ascii="Arial" w:hAnsi="Arial"/>
                      <w:b/>
                      <w:sz w:val="24"/>
                    </w:rPr>
                  </w:pPr>
                </w:p>
                <w:p w:rsidR="007A5EA9" w:rsidRDefault="007A5EA9" w:rsidP="007A5EA9">
                  <w:pPr>
                    <w:pStyle w:val="Textoindependiente"/>
                    <w:rPr>
                      <w:rFonts w:ascii="Arial" w:hAnsi="Arial"/>
                      <w:b/>
                      <w:sz w:val="24"/>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391373" w:rsidP="007A5EA9">
                  <w:pPr>
                    <w:pStyle w:val="Textoindependiente"/>
                    <w:rPr>
                      <w:rFonts w:ascii="Arial" w:hAnsi="Arial"/>
                      <w:b/>
                      <w:sz w:val="32"/>
                    </w:rPr>
                  </w:pPr>
                  <w:r>
                    <w:rPr>
                      <w:rFonts w:ascii="Arial" w:hAnsi="Arial"/>
                      <w:b/>
                      <w:sz w:val="32"/>
                    </w:rPr>
                    <w:t>Presentado por</w:t>
                  </w:r>
                </w:p>
                <w:p w:rsidR="007A5EA9" w:rsidRDefault="007A5EA9" w:rsidP="007A5EA9">
                  <w:pPr>
                    <w:pStyle w:val="Textoindependiente"/>
                    <w:jc w:val="left"/>
                    <w:rPr>
                      <w:rFonts w:ascii="Arial" w:hAnsi="Arial"/>
                      <w:b/>
                      <w:sz w:val="32"/>
                    </w:rPr>
                  </w:pPr>
                </w:p>
                <w:p w:rsidR="007A5EA9" w:rsidRDefault="007A5EA9" w:rsidP="007A5EA9">
                  <w:pPr>
                    <w:pStyle w:val="Textoindependiente"/>
                    <w:jc w:val="left"/>
                    <w:rPr>
                      <w:rFonts w:ascii="Arial" w:hAnsi="Arial"/>
                      <w:b/>
                      <w:sz w:val="24"/>
                    </w:rPr>
                  </w:pPr>
                </w:p>
                <w:p w:rsidR="00391373" w:rsidRPr="00391373" w:rsidRDefault="00391373" w:rsidP="007A5EA9">
                  <w:pPr>
                    <w:pStyle w:val="Textoindependiente"/>
                    <w:jc w:val="left"/>
                    <w:rPr>
                      <w:rFonts w:ascii="Arial" w:hAnsi="Arial"/>
                      <w:b/>
                    </w:rPr>
                  </w:pPr>
                </w:p>
                <w:p w:rsidR="007A5EA9" w:rsidRPr="00391373" w:rsidRDefault="00391373" w:rsidP="00391373">
                  <w:pPr>
                    <w:pStyle w:val="Textoindependiente"/>
                    <w:ind w:left="708" w:firstLine="708"/>
                    <w:rPr>
                      <w:rFonts w:ascii="Arial" w:hAnsi="Arial"/>
                      <w:b/>
                    </w:rPr>
                  </w:pPr>
                  <w:r w:rsidRPr="00391373">
                    <w:rPr>
                      <w:rFonts w:ascii="Arial" w:hAnsi="Arial"/>
                      <w:b/>
                    </w:rPr>
                    <w:t>Licda. Odilia Gicela Cente Matamoros de Guerrero</w:t>
                  </w:r>
                </w:p>
                <w:p w:rsidR="007A5EA9" w:rsidRDefault="007A5EA9" w:rsidP="007A5EA9">
                  <w:pPr>
                    <w:pStyle w:val="Textoindependiente"/>
                    <w:jc w:val="left"/>
                    <w:rPr>
                      <w:rFonts w:ascii="Arial" w:hAnsi="Arial"/>
                      <w:b/>
                      <w:sz w:val="24"/>
                    </w:rPr>
                  </w:pPr>
                </w:p>
                <w:p w:rsidR="007A5EA9" w:rsidRDefault="007A5EA9" w:rsidP="007A5EA9">
                  <w:pPr>
                    <w:pStyle w:val="Textoindependiente"/>
                    <w:jc w:val="left"/>
                    <w:rPr>
                      <w:rFonts w:ascii="Arial" w:hAnsi="Arial"/>
                      <w:b/>
                      <w:sz w:val="24"/>
                    </w:rPr>
                  </w:pPr>
                </w:p>
                <w:p w:rsidR="007A5EA9" w:rsidRDefault="007A5EA9" w:rsidP="007A5EA9">
                  <w:pPr>
                    <w:pStyle w:val="Textoindependiente"/>
                    <w:jc w:val="left"/>
                    <w:rPr>
                      <w:rFonts w:ascii="Arial" w:hAnsi="Arial"/>
                      <w:b/>
                      <w:sz w:val="24"/>
                    </w:rPr>
                  </w:pPr>
                </w:p>
                <w:p w:rsidR="007A5EA9" w:rsidRDefault="00391373" w:rsidP="00391373">
                  <w:pPr>
                    <w:pStyle w:val="Textoindependiente"/>
                  </w:pPr>
                  <w:r>
                    <w:t>Septiembre 2010</w:t>
                  </w:r>
                </w:p>
              </w:txbxContent>
            </v:textbox>
          </v:rect>
        </w:pict>
      </w:r>
    </w:p>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 w:rsidR="007A5EA9" w:rsidRDefault="007A5EA9" w:rsidP="007A5EA9">
      <w:pPr>
        <w:pStyle w:val="Textoindependiente"/>
        <w:rPr>
          <w:rFonts w:ascii="Arial" w:hAnsi="Arial"/>
          <w:b/>
          <w:sz w:val="32"/>
        </w:rPr>
      </w:pPr>
      <w:r>
        <w:rPr>
          <w:rFonts w:ascii="Arial" w:hAnsi="Arial"/>
          <w:b/>
          <w:sz w:val="32"/>
        </w:rPr>
        <w:t xml:space="preserve">“CONDICIONES DE EQUIDAD EN </w:t>
      </w:r>
      <w:smartTag w:uri="urn:schemas-microsoft-com:office:smarttags" w:element="PersonName">
        <w:smartTagPr>
          <w:attr w:name="ProductID" w:val="LA DISPONIBILIDAD Y"/>
        </w:smartTagPr>
        <w:r>
          <w:rPr>
            <w:rFonts w:ascii="Arial" w:hAnsi="Arial"/>
            <w:b/>
            <w:sz w:val="32"/>
          </w:rPr>
          <w:t>LA DISPONIBILIDAD Y</w:t>
        </w:r>
      </w:smartTag>
      <w:r>
        <w:rPr>
          <w:rFonts w:ascii="Arial" w:hAnsi="Arial"/>
          <w:b/>
          <w:sz w:val="32"/>
        </w:rPr>
        <w:t xml:space="preserve"> UTILIZACIÓN DE LOS SERVICIOS DE SALUD EN EL SALVADOR </w:t>
      </w:r>
      <w:smartTag w:uri="urn:schemas-microsoft-com:office:smarttags" w:element="metricconverter">
        <w:smartTagPr>
          <w:attr w:name="ProductID" w:val="2001”"/>
        </w:smartTagPr>
        <w:r>
          <w:rPr>
            <w:rFonts w:ascii="Arial" w:hAnsi="Arial"/>
            <w:b/>
            <w:sz w:val="32"/>
          </w:rPr>
          <w:t>2001”</w:t>
        </w:r>
      </w:smartTag>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rPr>
          <w:rFonts w:ascii="Arial" w:hAnsi="Arial"/>
          <w:b/>
          <w:sz w:val="32"/>
        </w:rPr>
      </w:pPr>
    </w:p>
    <w:p w:rsidR="007A5EA9" w:rsidRDefault="007A5EA9" w:rsidP="007A5EA9">
      <w:pPr>
        <w:pStyle w:val="Textoindependiente"/>
        <w:jc w:val="left"/>
        <w:outlineLvl w:val="0"/>
        <w:rPr>
          <w:rFonts w:ascii="Arial" w:hAnsi="Arial"/>
          <w:b/>
          <w:sz w:val="24"/>
        </w:rPr>
      </w:pPr>
      <w:r>
        <w:rPr>
          <w:rFonts w:ascii="Arial" w:hAnsi="Arial"/>
          <w:b/>
          <w:sz w:val="24"/>
        </w:rPr>
        <w:t>Docente  Asesor:                  Dr.  Fernando Ernesto Minervini</w:t>
      </w:r>
    </w:p>
    <w:p w:rsidR="007A5EA9" w:rsidRDefault="007A5EA9" w:rsidP="007A5EA9">
      <w:pPr>
        <w:pStyle w:val="Textoindependiente"/>
        <w:jc w:val="left"/>
        <w:rPr>
          <w:rFonts w:ascii="Arial" w:hAnsi="Arial"/>
          <w:b/>
          <w:sz w:val="24"/>
        </w:rPr>
      </w:pPr>
    </w:p>
    <w:p w:rsidR="007A5EA9" w:rsidRDefault="007A5EA9" w:rsidP="007A5EA9">
      <w:pPr>
        <w:pStyle w:val="Textoindependiente"/>
        <w:jc w:val="left"/>
        <w:rPr>
          <w:rFonts w:ascii="Arial" w:hAnsi="Arial"/>
          <w:b/>
          <w:sz w:val="24"/>
        </w:rPr>
      </w:pPr>
      <w:r>
        <w:rPr>
          <w:rFonts w:ascii="Arial" w:hAnsi="Arial"/>
          <w:b/>
          <w:sz w:val="24"/>
        </w:rPr>
        <w:t>Presentado   por:                  Licda.Gicela Cente</w:t>
      </w:r>
    </w:p>
    <w:p w:rsidR="007A5EA9" w:rsidRDefault="007A5EA9" w:rsidP="007A5EA9">
      <w:pPr>
        <w:pStyle w:val="Textoindependiente"/>
        <w:jc w:val="left"/>
        <w:rPr>
          <w:rFonts w:ascii="Arial" w:hAnsi="Arial"/>
          <w:b/>
          <w:sz w:val="24"/>
        </w:rPr>
      </w:pPr>
    </w:p>
    <w:p w:rsidR="00081A52" w:rsidRDefault="00081A52">
      <w:pPr>
        <w:pStyle w:val="Textoindependiente"/>
        <w:jc w:val="both"/>
        <w:rPr>
          <w:rFonts w:ascii="Times New Roman" w:hAnsi="Times New Roman"/>
          <w:b/>
          <w:sz w:val="24"/>
        </w:rPr>
      </w:pPr>
      <w:r>
        <w:rPr>
          <w:rFonts w:ascii="Times New Roman" w:hAnsi="Times New Roman"/>
          <w:b/>
          <w:noProof/>
          <w:sz w:val="20"/>
        </w:rPr>
        <w:lastRenderedPageBreak/>
        <w:pict>
          <v:rect id="_x0000_s1046" style="position:absolute;left:0;text-align:left;margin-left:405pt;margin-top:20.25pt;width:27pt;height:36pt;z-index:251619328" o:allowincell="f" strokecolor="white"/>
        </w:pict>
      </w:r>
    </w:p>
    <w:p w:rsidR="00081A52" w:rsidRDefault="00081A52">
      <w:pPr>
        <w:pStyle w:val="Textoindependiente"/>
        <w:ind w:left="360"/>
        <w:rPr>
          <w:rFonts w:ascii="Times New Roman" w:hAnsi="Times New Roman"/>
          <w:b/>
          <w:sz w:val="24"/>
        </w:rPr>
      </w:pPr>
    </w:p>
    <w:p w:rsidR="00081A52" w:rsidRPr="00720FB0" w:rsidRDefault="00081A52">
      <w:pPr>
        <w:pStyle w:val="Textoindependiente"/>
        <w:outlineLvl w:val="0"/>
        <w:rPr>
          <w:rFonts w:ascii="Times New Roman" w:hAnsi="Times New Roman"/>
          <w:b/>
          <w:lang w:val="es-ES"/>
        </w:rPr>
      </w:pPr>
      <w:r w:rsidRPr="00720FB0">
        <w:rPr>
          <w:rFonts w:ascii="Times New Roman" w:hAnsi="Times New Roman"/>
          <w:b/>
          <w:lang w:val="es-ES"/>
        </w:rPr>
        <w:t>I N D I C E</w:t>
      </w:r>
    </w:p>
    <w:p w:rsidR="00081A52" w:rsidRPr="00720FB0" w:rsidRDefault="00081A52">
      <w:pPr>
        <w:pStyle w:val="Textoindependiente"/>
        <w:jc w:val="both"/>
        <w:rPr>
          <w:rFonts w:ascii="Times New Roman" w:hAnsi="Times New Roman"/>
          <w:b/>
          <w:lang w:val="es-ES"/>
        </w:rPr>
      </w:pPr>
    </w:p>
    <w:p w:rsidR="00081A52" w:rsidRDefault="00081A52">
      <w:pPr>
        <w:pStyle w:val="Textoindependiente"/>
        <w:spacing w:line="480" w:lineRule="auto"/>
        <w:ind w:left="5664"/>
        <w:jc w:val="both"/>
        <w:rPr>
          <w:rFonts w:ascii="Times New Roman" w:hAnsi="Times New Roman"/>
          <w:bCs/>
          <w:sz w:val="24"/>
          <w:lang w:val="es-ES"/>
        </w:rPr>
      </w:pPr>
      <w:r>
        <w:rPr>
          <w:rFonts w:ascii="Times New Roman" w:hAnsi="Times New Roman"/>
          <w:bCs/>
          <w:sz w:val="24"/>
          <w:lang w:val="es-ES"/>
        </w:rPr>
        <w:t>No. Página</w:t>
      </w:r>
    </w:p>
    <w:p w:rsidR="00081A52" w:rsidRDefault="00081A52">
      <w:pPr>
        <w:pStyle w:val="Textoindependiente"/>
        <w:spacing w:line="480" w:lineRule="auto"/>
        <w:jc w:val="both"/>
        <w:rPr>
          <w:rFonts w:ascii="Times New Roman" w:hAnsi="Times New Roman"/>
          <w:bCs/>
          <w:sz w:val="24"/>
          <w:lang w:val="es-ES"/>
        </w:rPr>
      </w:pPr>
      <w:r>
        <w:rPr>
          <w:rFonts w:ascii="Times New Roman" w:hAnsi="Times New Roman"/>
          <w:bCs/>
          <w:sz w:val="24"/>
          <w:lang w:val="es-ES"/>
        </w:rPr>
        <w:t xml:space="preserve">                                                                      </w:t>
      </w:r>
    </w:p>
    <w:p w:rsidR="00081A52" w:rsidRDefault="00081A52">
      <w:pPr>
        <w:pStyle w:val="Textoindependiente"/>
        <w:numPr>
          <w:ilvl w:val="0"/>
          <w:numId w:val="7"/>
        </w:numPr>
        <w:spacing w:line="480" w:lineRule="auto"/>
        <w:jc w:val="both"/>
        <w:rPr>
          <w:rFonts w:ascii="Times New Roman" w:hAnsi="Times New Roman"/>
          <w:bCs/>
          <w:sz w:val="24"/>
        </w:rPr>
      </w:pPr>
      <w:r>
        <w:rPr>
          <w:rFonts w:ascii="Times New Roman" w:hAnsi="Times New Roman"/>
          <w:bCs/>
          <w:sz w:val="24"/>
        </w:rPr>
        <w:t>Introducción</w:t>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t>1</w:t>
      </w:r>
    </w:p>
    <w:p w:rsidR="00081A52" w:rsidRDefault="00081A52">
      <w:pPr>
        <w:pStyle w:val="Textoindependiente"/>
        <w:numPr>
          <w:ilvl w:val="0"/>
          <w:numId w:val="7"/>
        </w:numPr>
        <w:spacing w:line="480" w:lineRule="auto"/>
        <w:jc w:val="both"/>
        <w:rPr>
          <w:rFonts w:ascii="Times New Roman" w:hAnsi="Times New Roman"/>
          <w:bCs/>
          <w:sz w:val="24"/>
        </w:rPr>
      </w:pPr>
      <w:r>
        <w:rPr>
          <w:rFonts w:ascii="Times New Roman" w:hAnsi="Times New Roman"/>
          <w:bCs/>
          <w:sz w:val="24"/>
        </w:rPr>
        <w:t>Antecedentes</w:t>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t>2-4</w:t>
      </w:r>
    </w:p>
    <w:p w:rsidR="00081A52" w:rsidRDefault="00081A52">
      <w:pPr>
        <w:pStyle w:val="Textoindependiente"/>
        <w:numPr>
          <w:ilvl w:val="0"/>
          <w:numId w:val="7"/>
        </w:numPr>
        <w:spacing w:line="480" w:lineRule="auto"/>
        <w:jc w:val="both"/>
        <w:rPr>
          <w:rFonts w:ascii="Times New Roman" w:hAnsi="Times New Roman"/>
          <w:bCs/>
          <w:sz w:val="24"/>
        </w:rPr>
      </w:pPr>
      <w:r>
        <w:rPr>
          <w:rFonts w:ascii="Times New Roman" w:hAnsi="Times New Roman"/>
          <w:bCs/>
          <w:sz w:val="24"/>
        </w:rPr>
        <w:t>Planteamiento del problema</w:t>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t>5-10</w:t>
      </w:r>
    </w:p>
    <w:p w:rsidR="00081A52" w:rsidRDefault="00081A52">
      <w:pPr>
        <w:pStyle w:val="Textoindependiente"/>
        <w:numPr>
          <w:ilvl w:val="0"/>
          <w:numId w:val="7"/>
        </w:numPr>
        <w:spacing w:line="480" w:lineRule="auto"/>
        <w:jc w:val="both"/>
        <w:rPr>
          <w:rFonts w:ascii="Times New Roman" w:hAnsi="Times New Roman"/>
          <w:bCs/>
          <w:sz w:val="24"/>
        </w:rPr>
      </w:pPr>
      <w:r>
        <w:rPr>
          <w:rFonts w:ascii="Times New Roman" w:hAnsi="Times New Roman"/>
          <w:bCs/>
          <w:sz w:val="24"/>
        </w:rPr>
        <w:t>Objetivos</w:t>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t>10</w:t>
      </w:r>
    </w:p>
    <w:p w:rsidR="00081A52" w:rsidRDefault="00081A52">
      <w:pPr>
        <w:pStyle w:val="Textoindependiente"/>
        <w:numPr>
          <w:ilvl w:val="0"/>
          <w:numId w:val="7"/>
        </w:numPr>
        <w:spacing w:line="480" w:lineRule="auto"/>
        <w:jc w:val="both"/>
        <w:rPr>
          <w:rFonts w:ascii="Times New Roman" w:hAnsi="Times New Roman"/>
          <w:bCs/>
          <w:sz w:val="24"/>
        </w:rPr>
      </w:pPr>
      <w:r>
        <w:rPr>
          <w:rFonts w:ascii="Times New Roman" w:hAnsi="Times New Roman"/>
          <w:bCs/>
          <w:sz w:val="24"/>
        </w:rPr>
        <w:t>Marco Teórico</w:t>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t>11-15</w:t>
      </w:r>
      <w:r>
        <w:rPr>
          <w:rFonts w:ascii="Times New Roman" w:hAnsi="Times New Roman"/>
          <w:bCs/>
          <w:sz w:val="24"/>
        </w:rPr>
        <w:tab/>
      </w:r>
    </w:p>
    <w:p w:rsidR="00081A52" w:rsidRDefault="00081A52">
      <w:pPr>
        <w:pStyle w:val="Textoindependiente"/>
        <w:numPr>
          <w:ilvl w:val="0"/>
          <w:numId w:val="7"/>
        </w:numPr>
        <w:spacing w:line="480" w:lineRule="auto"/>
        <w:jc w:val="both"/>
        <w:rPr>
          <w:rFonts w:ascii="Times New Roman" w:hAnsi="Times New Roman"/>
          <w:bCs/>
          <w:sz w:val="24"/>
        </w:rPr>
      </w:pPr>
      <w:r>
        <w:rPr>
          <w:rFonts w:ascii="Times New Roman" w:hAnsi="Times New Roman"/>
          <w:bCs/>
          <w:sz w:val="24"/>
        </w:rPr>
        <w:t>Metodología</w:t>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t>16-19</w:t>
      </w:r>
    </w:p>
    <w:p w:rsidR="00081A52" w:rsidRDefault="00081A52">
      <w:pPr>
        <w:pStyle w:val="Textoindependiente"/>
        <w:numPr>
          <w:ilvl w:val="0"/>
          <w:numId w:val="7"/>
        </w:numPr>
        <w:spacing w:line="480" w:lineRule="auto"/>
        <w:jc w:val="both"/>
        <w:rPr>
          <w:rFonts w:ascii="Times New Roman" w:hAnsi="Times New Roman"/>
          <w:bCs/>
          <w:sz w:val="24"/>
        </w:rPr>
      </w:pPr>
      <w:r>
        <w:rPr>
          <w:rFonts w:ascii="Times New Roman" w:hAnsi="Times New Roman"/>
          <w:bCs/>
          <w:sz w:val="24"/>
        </w:rPr>
        <w:t xml:space="preserve">Resultados Análisis                                            </w:t>
      </w:r>
      <w:r>
        <w:rPr>
          <w:rFonts w:ascii="Times New Roman" w:hAnsi="Times New Roman"/>
          <w:bCs/>
          <w:sz w:val="24"/>
        </w:rPr>
        <w:tab/>
      </w:r>
      <w:r>
        <w:rPr>
          <w:rFonts w:ascii="Times New Roman" w:hAnsi="Times New Roman"/>
          <w:bCs/>
          <w:sz w:val="24"/>
        </w:rPr>
        <w:tab/>
        <w:t>20-27</w:t>
      </w:r>
    </w:p>
    <w:p w:rsidR="00081A52" w:rsidRDefault="00081A52">
      <w:pPr>
        <w:pStyle w:val="Textoindependiente"/>
        <w:numPr>
          <w:ilvl w:val="0"/>
          <w:numId w:val="7"/>
        </w:numPr>
        <w:spacing w:line="480" w:lineRule="auto"/>
        <w:jc w:val="both"/>
        <w:rPr>
          <w:rFonts w:ascii="Times New Roman" w:hAnsi="Times New Roman"/>
          <w:bCs/>
          <w:sz w:val="24"/>
        </w:rPr>
      </w:pPr>
      <w:r>
        <w:rPr>
          <w:rFonts w:ascii="Times New Roman" w:hAnsi="Times New Roman"/>
          <w:bCs/>
          <w:sz w:val="24"/>
        </w:rPr>
        <w:t>Conclusiones y Recomendaciones</w:t>
      </w:r>
      <w:r>
        <w:rPr>
          <w:rFonts w:ascii="Times New Roman" w:hAnsi="Times New Roman"/>
          <w:bCs/>
          <w:sz w:val="24"/>
        </w:rPr>
        <w:tab/>
      </w:r>
      <w:r>
        <w:rPr>
          <w:rFonts w:ascii="Times New Roman" w:hAnsi="Times New Roman"/>
          <w:bCs/>
          <w:sz w:val="24"/>
        </w:rPr>
        <w:tab/>
      </w:r>
      <w:r>
        <w:rPr>
          <w:rFonts w:ascii="Times New Roman" w:hAnsi="Times New Roman"/>
          <w:bCs/>
          <w:sz w:val="24"/>
        </w:rPr>
        <w:tab/>
        <w:t>28-30</w:t>
      </w:r>
    </w:p>
    <w:p w:rsidR="00081A52" w:rsidRDefault="00081A52">
      <w:pPr>
        <w:pStyle w:val="Textoindependiente"/>
        <w:numPr>
          <w:ilvl w:val="0"/>
          <w:numId w:val="7"/>
        </w:numPr>
        <w:spacing w:line="480" w:lineRule="auto"/>
        <w:jc w:val="both"/>
        <w:rPr>
          <w:rFonts w:ascii="Times New Roman" w:hAnsi="Times New Roman"/>
          <w:bCs/>
          <w:sz w:val="24"/>
        </w:rPr>
      </w:pPr>
      <w:r>
        <w:rPr>
          <w:rFonts w:ascii="Times New Roman" w:hAnsi="Times New Roman"/>
          <w:bCs/>
          <w:sz w:val="24"/>
        </w:rPr>
        <w:t>Anexos</w:t>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t>31</w:t>
      </w:r>
    </w:p>
    <w:p w:rsidR="00081A52" w:rsidRDefault="00081A52">
      <w:pPr>
        <w:pStyle w:val="Textoindependiente"/>
        <w:numPr>
          <w:ilvl w:val="1"/>
          <w:numId w:val="7"/>
        </w:numPr>
        <w:spacing w:line="480" w:lineRule="auto"/>
        <w:jc w:val="both"/>
        <w:rPr>
          <w:rFonts w:ascii="Times New Roman" w:hAnsi="Times New Roman"/>
          <w:bCs/>
          <w:sz w:val="24"/>
        </w:rPr>
      </w:pPr>
      <w:r>
        <w:rPr>
          <w:rFonts w:ascii="Times New Roman" w:hAnsi="Times New Roman"/>
          <w:bCs/>
          <w:sz w:val="24"/>
        </w:rPr>
        <w:t>Bibliografía</w:t>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t>32</w:t>
      </w:r>
    </w:p>
    <w:p w:rsidR="00081A52" w:rsidRDefault="00081A52">
      <w:pPr>
        <w:pStyle w:val="Textoindependiente"/>
        <w:numPr>
          <w:ilvl w:val="1"/>
          <w:numId w:val="7"/>
        </w:numPr>
        <w:spacing w:line="480" w:lineRule="auto"/>
        <w:jc w:val="both"/>
        <w:rPr>
          <w:rFonts w:ascii="Times New Roman" w:hAnsi="Times New Roman"/>
          <w:bCs/>
          <w:sz w:val="24"/>
        </w:rPr>
      </w:pPr>
      <w:r>
        <w:rPr>
          <w:rFonts w:ascii="Times New Roman" w:hAnsi="Times New Roman"/>
          <w:bCs/>
          <w:sz w:val="24"/>
        </w:rPr>
        <w:t>Lista de Siglas</w:t>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t>33</w:t>
      </w:r>
    </w:p>
    <w:p w:rsidR="00081A52" w:rsidRDefault="00081A52">
      <w:pPr>
        <w:pStyle w:val="Textoindependiente"/>
        <w:numPr>
          <w:ilvl w:val="1"/>
          <w:numId w:val="7"/>
        </w:numPr>
        <w:spacing w:line="480" w:lineRule="auto"/>
        <w:jc w:val="both"/>
        <w:rPr>
          <w:rFonts w:ascii="Times New Roman" w:hAnsi="Times New Roman"/>
          <w:bCs/>
          <w:sz w:val="24"/>
        </w:rPr>
      </w:pPr>
      <w:r>
        <w:rPr>
          <w:rFonts w:ascii="Times New Roman" w:hAnsi="Times New Roman"/>
          <w:bCs/>
          <w:sz w:val="24"/>
        </w:rPr>
        <w:t>Glosario</w:t>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t>34-37</w:t>
      </w:r>
    </w:p>
    <w:p w:rsidR="00081A52" w:rsidRDefault="00081A52">
      <w:pPr>
        <w:pStyle w:val="Textoindependiente"/>
        <w:numPr>
          <w:ilvl w:val="0"/>
          <w:numId w:val="7"/>
        </w:numPr>
        <w:jc w:val="left"/>
        <w:rPr>
          <w:rFonts w:ascii="Times New Roman" w:hAnsi="Times New Roman"/>
          <w:bCs/>
          <w:sz w:val="24"/>
        </w:rPr>
      </w:pPr>
      <w:r>
        <w:rPr>
          <w:rFonts w:ascii="Times New Roman" w:hAnsi="Times New Roman"/>
          <w:bCs/>
          <w:sz w:val="24"/>
        </w:rPr>
        <w:t>Formularios</w:t>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r>
      <w:r>
        <w:rPr>
          <w:rFonts w:ascii="Times New Roman" w:hAnsi="Times New Roman"/>
          <w:bCs/>
          <w:sz w:val="24"/>
        </w:rPr>
        <w:tab/>
        <w:t>38</w:t>
      </w:r>
      <w:r>
        <w:rPr>
          <w:rFonts w:ascii="Times New Roman" w:hAnsi="Times New Roman"/>
          <w:bCs/>
          <w:sz w:val="24"/>
        </w:rPr>
        <w:tab/>
      </w:r>
      <w:r>
        <w:rPr>
          <w:rFonts w:ascii="Times New Roman" w:hAnsi="Times New Roman"/>
          <w:bCs/>
          <w:sz w:val="24"/>
        </w:rPr>
        <w:tab/>
      </w:r>
    </w:p>
    <w:p w:rsidR="00081A52" w:rsidRDefault="00081A52">
      <w:pPr>
        <w:pStyle w:val="Textoindependiente"/>
        <w:numPr>
          <w:ilvl w:val="0"/>
          <w:numId w:val="19"/>
        </w:numPr>
        <w:rPr>
          <w:rFonts w:ascii="Times New Roman" w:hAnsi="Times New Roman"/>
          <w:b/>
        </w:rPr>
      </w:pPr>
      <w:r>
        <w:rPr>
          <w:rFonts w:ascii="Times New Roman" w:hAnsi="Times New Roman"/>
          <w:b/>
          <w:sz w:val="24"/>
        </w:rPr>
        <w:br w:type="page"/>
      </w:r>
      <w:r>
        <w:rPr>
          <w:rFonts w:ascii="Times New Roman" w:hAnsi="Times New Roman"/>
          <w:b/>
        </w:rPr>
        <w:lastRenderedPageBreak/>
        <w:t>INTRODUCCIÓN</w:t>
      </w:r>
    </w:p>
    <w:p w:rsidR="00081A52" w:rsidRDefault="00081A52">
      <w:pPr>
        <w:pStyle w:val="Textoindependiente"/>
        <w:ind w:left="360"/>
        <w:rPr>
          <w:rFonts w:ascii="Times New Roman" w:hAnsi="Times New Roman"/>
          <w:b/>
        </w:rPr>
      </w:pPr>
    </w:p>
    <w:p w:rsidR="00081A52" w:rsidRDefault="00081A52">
      <w:pPr>
        <w:pStyle w:val="Textoindependiente"/>
        <w:jc w:val="both"/>
        <w:rPr>
          <w:rFonts w:ascii="Times New Roman" w:hAnsi="Times New Roman"/>
          <w:b/>
          <w:sz w:val="24"/>
        </w:rPr>
      </w:pPr>
    </w:p>
    <w:p w:rsidR="00081A52" w:rsidRDefault="00081A52">
      <w:pPr>
        <w:pStyle w:val="Textoindependiente"/>
        <w:spacing w:line="360" w:lineRule="auto"/>
        <w:jc w:val="both"/>
        <w:rPr>
          <w:rFonts w:ascii="Times New Roman" w:hAnsi="Times New Roman"/>
          <w:sz w:val="24"/>
        </w:rPr>
      </w:pPr>
      <w:smartTag w:uri="urn:schemas-microsoft-com:office:smarttags" w:element="PersonName">
        <w:smartTagPr>
          <w:attr w:name="ProductID" w:val="La Equidad"/>
        </w:smartTagPr>
        <w:r>
          <w:rPr>
            <w:rFonts w:ascii="Times New Roman" w:hAnsi="Times New Roman"/>
            <w:sz w:val="24"/>
          </w:rPr>
          <w:t>La Equidad</w:t>
        </w:r>
      </w:smartTag>
      <w:r>
        <w:rPr>
          <w:rFonts w:ascii="Times New Roman" w:hAnsi="Times New Roman"/>
          <w:sz w:val="24"/>
        </w:rPr>
        <w:t xml:space="preserve"> en Salud se considera un principio básico para el desarrollo humano y la justicia social, por lo que el logro de mejores niveles de equidad en una sociedad en proceso de reforma  sanitaria constituye un reto y un elemento fundamental para su desarrollo y su productividad, de allí la importancia de contar con instrumentos que permitan monitorear y evaluar continuamente los avances y logros de las políticas y programas que los gobiernos ponen en marcha, y así determinar si  generan el impacto deseado y benefician a las poblaciones más postergadas y vulnerables como parte del fomento de la equidad en la disponibilidad y utilización de los servicios de salud.</w:t>
      </w:r>
    </w:p>
    <w:p w:rsidR="00081A52" w:rsidRDefault="00081A52">
      <w:pPr>
        <w:pStyle w:val="Textoindependiente"/>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El presente esfuerzo investigativo pretende evidenciar las condiciones que giran alrededor de la equidad en la disponibilidad y utilización de los servicios de Salud en El Salvador, en este sentido realizó un estudio descriptivo de tipo transversal con análisis de encuesta y revisión documental exhaustiva, lo anterior permitió desarrollar los indicadores que sirvieron de base, el análisis de la equidad que pueden compararse permanente y a partir de allí  definir un observatorio de la equidad de los servicios de salud en El Salvador.</w:t>
      </w:r>
    </w:p>
    <w:p w:rsidR="00081A52" w:rsidRDefault="00081A52">
      <w:pPr>
        <w:pStyle w:val="Textoindependiente"/>
        <w:jc w:val="both"/>
        <w:rPr>
          <w:rFonts w:ascii="Times New Roman" w:hAnsi="Times New Roman"/>
          <w:sz w:val="24"/>
        </w:rPr>
      </w:pPr>
    </w:p>
    <w:p w:rsidR="00081A52" w:rsidRDefault="00081A52">
      <w:pPr>
        <w:pStyle w:val="Textoindependiente"/>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Para desarrollar el presente estudio se inicio con una fase de documentación  bibliográfica que permitió revisar información científica relacionada con la equidad. Se analizaron estudios realizados con este tema, desarrollados en otros países, lo cual facilitó conformar un marco de referencia. Posteriormente se procedió a estudiar cuidadosamente  </w:t>
      </w:r>
      <w:smartTag w:uri="urn:schemas-microsoft-com:office:smarttags" w:element="PersonName">
        <w:smartTagPr>
          <w:attr w:name="ProductID" w:val="la Encuesta"/>
        </w:smartTagPr>
        <w:r>
          <w:rPr>
            <w:rFonts w:ascii="Times New Roman" w:hAnsi="Times New Roman"/>
            <w:sz w:val="24"/>
          </w:rPr>
          <w:t>la Encuesta</w:t>
        </w:r>
      </w:smartTag>
      <w:r>
        <w:rPr>
          <w:rFonts w:ascii="Times New Roman" w:hAnsi="Times New Roman"/>
          <w:sz w:val="24"/>
        </w:rPr>
        <w:t xml:space="preserve"> de Hogares de propósitos múltiples (EHPM), su base  datos, especialmente el módulo de salud  y otros módulos relacionados. Se elaboraron formularios preliminares que permitieron  orientar  algunos cruces de variables, luego se diseñaron hojas electrónicas para el procesamiento de la información  y la construcción de los indicadores en estudio.</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Con esto se realizaron las reuniones de análisis respectivo y se procedió a elaborar el informe preliminar, luego con aproximaciones sucesivas se afinó y produjo el informe final, el cual se pone a consideración y disposición de los lectores interesados en el problema de la equidad en salud.</w:t>
      </w:r>
    </w:p>
    <w:p w:rsidR="00081A52" w:rsidRDefault="00081A52">
      <w:pPr>
        <w:pStyle w:val="Textoindependiente"/>
        <w:numPr>
          <w:ilvl w:val="0"/>
          <w:numId w:val="16"/>
        </w:numPr>
        <w:rPr>
          <w:rFonts w:ascii="Times New Roman" w:hAnsi="Times New Roman"/>
          <w:b/>
        </w:rPr>
      </w:pPr>
      <w:r>
        <w:rPr>
          <w:rFonts w:ascii="Times New Roman" w:hAnsi="Times New Roman"/>
          <w:b/>
        </w:rPr>
        <w:lastRenderedPageBreak/>
        <w:t>ANTECEDENTES</w:t>
      </w:r>
    </w:p>
    <w:p w:rsidR="00081A52" w:rsidRDefault="00081A52">
      <w:pPr>
        <w:pStyle w:val="Textoindependiente"/>
        <w:ind w:left="357"/>
        <w:jc w:val="both"/>
        <w:rPr>
          <w:rFonts w:ascii="Times New Roman" w:hAnsi="Times New Roman"/>
          <w:b/>
          <w:sz w:val="24"/>
        </w:rPr>
      </w:pPr>
    </w:p>
    <w:p w:rsidR="00081A52" w:rsidRDefault="00081A52">
      <w:pPr>
        <w:pStyle w:val="BodyText2"/>
        <w:spacing w:line="240" w:lineRule="auto"/>
        <w:ind w:left="0" w:firstLine="0"/>
        <w:rPr>
          <w:rFonts w:ascii="Times New Roman" w:hAnsi="Times New Roman"/>
        </w:rPr>
      </w:pPr>
    </w:p>
    <w:p w:rsidR="00081A52" w:rsidRDefault="00081A52">
      <w:pPr>
        <w:pStyle w:val="BodyText2"/>
        <w:spacing w:line="360" w:lineRule="auto"/>
        <w:ind w:left="0" w:firstLine="0"/>
        <w:rPr>
          <w:rFonts w:ascii="Times New Roman" w:hAnsi="Times New Roman"/>
        </w:rPr>
      </w:pPr>
      <w:r>
        <w:rPr>
          <w:rFonts w:ascii="Times New Roman" w:hAnsi="Times New Roman"/>
        </w:rPr>
        <w:t xml:space="preserve">En los años 1993, 1994, un equipo de consultores internacionales y nacionales, con los auspicios de </w:t>
      </w:r>
      <w:smartTag w:uri="urn:schemas-microsoft-com:office:smarttags" w:element="PersonName">
        <w:smartTagPr>
          <w:attr w:name="ProductID" w:val="la Agencia"/>
        </w:smartTagPr>
        <w:r>
          <w:rPr>
            <w:rFonts w:ascii="Times New Roman" w:hAnsi="Times New Roman"/>
          </w:rPr>
          <w:t>la Agencia</w:t>
        </w:r>
      </w:smartTag>
      <w:r>
        <w:rPr>
          <w:rFonts w:ascii="Times New Roman" w:hAnsi="Times New Roman"/>
        </w:rPr>
        <w:t xml:space="preserve"> de los Estados Unidos para el Desarrollo Internacional (USAID), </w:t>
      </w:r>
      <w:smartTag w:uri="urn:schemas-microsoft-com:office:smarttags" w:element="PersonName">
        <w:smartTagPr>
          <w:attr w:name="ProductID" w:val="la Organización Panamericana"/>
        </w:smartTagPr>
        <w:r>
          <w:rPr>
            <w:rFonts w:ascii="Times New Roman" w:hAnsi="Times New Roman"/>
          </w:rPr>
          <w:t>la Organización Panamericana</w:t>
        </w:r>
      </w:smartTag>
      <w:r>
        <w:rPr>
          <w:rFonts w:ascii="Times New Roman" w:hAnsi="Times New Roman"/>
        </w:rPr>
        <w:t xml:space="preserve"> para </w:t>
      </w:r>
      <w:smartTag w:uri="urn:schemas-microsoft-com:office:smarttags" w:element="PersonName">
        <w:smartTagPr>
          <w:attr w:name="ProductID" w:val="la Salud"/>
        </w:smartTagPr>
        <w:r>
          <w:rPr>
            <w:rFonts w:ascii="Times New Roman" w:hAnsi="Times New Roman"/>
          </w:rPr>
          <w:t>la Salud</w:t>
        </w:r>
      </w:smartTag>
      <w:r>
        <w:rPr>
          <w:rFonts w:ascii="Times New Roman" w:hAnsi="Times New Roman"/>
        </w:rPr>
        <w:t xml:space="preserve"> (OPS), el Banco Mundial  (BM) y el Banco Interamericano de Desarrollo (BID), desarrollaron el proyecto Análisis del Sector Salud de El Salvador y elaboraron el estudio. “</w:t>
      </w:r>
      <w:smartTag w:uri="urn:schemas-microsoft-com:office:smarttags" w:element="PersonName">
        <w:smartTagPr>
          <w:attr w:name="ProductID" w:val="La Reforma"/>
        </w:smartTagPr>
        <w:r>
          <w:rPr>
            <w:rFonts w:ascii="Times New Roman" w:hAnsi="Times New Roman"/>
          </w:rPr>
          <w:t>La Reforma</w:t>
        </w:r>
      </w:smartTag>
      <w:r>
        <w:rPr>
          <w:rFonts w:ascii="Times New Roman" w:hAnsi="Times New Roman"/>
        </w:rPr>
        <w:t xml:space="preserve"> de Salud  Hacia su Equidad y Eficiencia”, que contiene un diagnóstico y propuesta para la reforma de la salud en nuestro país. Gran parte de los productos de ese esfuerzo no han sido aprovechados, porque la propuesta no obtuvo respaldo en los niveles técnicos y políticos relacionados con la salud.</w:t>
      </w:r>
    </w:p>
    <w:p w:rsidR="00081A52" w:rsidRDefault="00081A52">
      <w:pPr>
        <w:spacing w:line="360" w:lineRule="auto"/>
        <w:jc w:val="both"/>
        <w:rPr>
          <w:sz w:val="24"/>
        </w:rPr>
      </w:pPr>
    </w:p>
    <w:p w:rsidR="00081A52" w:rsidRDefault="00081A52">
      <w:pPr>
        <w:pStyle w:val="Textoindependiente2"/>
        <w:spacing w:line="360" w:lineRule="auto"/>
        <w:rPr>
          <w:rFonts w:ascii="Times New Roman" w:hAnsi="Times New Roman"/>
        </w:rPr>
      </w:pPr>
      <w:r>
        <w:rPr>
          <w:rFonts w:ascii="Times New Roman" w:hAnsi="Times New Roman"/>
        </w:rPr>
        <w:t xml:space="preserve">En los años 1994 - 1995, por determinación de </w:t>
      </w:r>
      <w:smartTag w:uri="urn:schemas-microsoft-com:office:smarttags" w:element="PersonName">
        <w:smartTagPr>
          <w:attr w:name="ProductID" w:val="la Comisión Intersectorial"/>
        </w:smartTagPr>
        <w:r>
          <w:rPr>
            <w:rFonts w:ascii="Times New Roman" w:hAnsi="Times New Roman"/>
          </w:rPr>
          <w:t>la Comisión Intersectorial</w:t>
        </w:r>
      </w:smartTag>
      <w:r>
        <w:rPr>
          <w:rFonts w:ascii="Times New Roman" w:hAnsi="Times New Roman"/>
        </w:rPr>
        <w:t xml:space="preserve"> de Salud, conformada por el Ministro de Salud Pública y Asistencia Social, el Ministro de Planificación y Coordinación del Desarrollo Económico y Social y </w:t>
      </w:r>
      <w:smartTag w:uri="urn:schemas-microsoft-com:office:smarttags" w:element="PersonName">
        <w:smartTagPr>
          <w:attr w:name="ProductID" w:val="la Directora General"/>
        </w:smartTagPr>
        <w:r>
          <w:rPr>
            <w:rFonts w:ascii="Times New Roman" w:hAnsi="Times New Roman"/>
          </w:rPr>
          <w:t>la Directora General</w:t>
        </w:r>
      </w:smartTag>
      <w:r>
        <w:rPr>
          <w:rFonts w:ascii="Times New Roman" w:hAnsi="Times New Roman"/>
        </w:rPr>
        <w:t xml:space="preserve"> del Instituto Salvadoreño del Seguro Social, se crea el Grupo de Reforma del Sector Salud, integrado por técnicos nacionales representantes de las instituciones mencionadas quienes elaboraron el Documento Guía para </w:t>
      </w:r>
      <w:smartTag w:uri="urn:schemas-microsoft-com:office:smarttags" w:element="PersonName">
        <w:smartTagPr>
          <w:attr w:name="ProductID" w:val="La Reforma"/>
        </w:smartTagPr>
        <w:r>
          <w:rPr>
            <w:rFonts w:ascii="Times New Roman" w:hAnsi="Times New Roman"/>
          </w:rPr>
          <w:t>la Reforma</w:t>
        </w:r>
      </w:smartTag>
      <w:r>
        <w:rPr>
          <w:rFonts w:ascii="Times New Roman" w:hAnsi="Times New Roman"/>
        </w:rPr>
        <w:t xml:space="preserve"> del Sector Salud en El Salvador. </w:t>
      </w:r>
    </w:p>
    <w:p w:rsidR="00081A52" w:rsidRDefault="00081A52">
      <w:pPr>
        <w:spacing w:line="360" w:lineRule="auto"/>
        <w:jc w:val="both"/>
        <w:rPr>
          <w:sz w:val="24"/>
        </w:rPr>
      </w:pPr>
    </w:p>
    <w:p w:rsidR="00081A52" w:rsidRDefault="00081A52">
      <w:pPr>
        <w:pStyle w:val="Textoindependiente2"/>
        <w:spacing w:line="360" w:lineRule="auto"/>
        <w:rPr>
          <w:rFonts w:ascii="Times New Roman" w:hAnsi="Times New Roman"/>
        </w:rPr>
      </w:pPr>
      <w:r>
        <w:rPr>
          <w:rFonts w:ascii="Times New Roman" w:hAnsi="Times New Roman"/>
        </w:rPr>
        <w:t xml:space="preserve">Esta propuesta solamente llegó a ser un documento de trabajo, pues le faltó  un  consenso de las instituciones representadas en </w:t>
      </w:r>
      <w:smartTag w:uri="urn:schemas-microsoft-com:office:smarttags" w:element="PersonName">
        <w:smartTagPr>
          <w:attr w:name="ProductID" w:val="la Comisión"/>
        </w:smartTagPr>
        <w:r>
          <w:rPr>
            <w:rFonts w:ascii="Times New Roman" w:hAnsi="Times New Roman"/>
          </w:rPr>
          <w:t>la Comisión</w:t>
        </w:r>
      </w:smartTag>
      <w:r>
        <w:rPr>
          <w:rFonts w:ascii="Times New Roman" w:hAnsi="Times New Roman"/>
        </w:rPr>
        <w:t xml:space="preserve"> sobre algunos de sus puntos medulares y porque no contó con la decisión política necesaria para abrir este documento a una discusión sectorial, en búsqueda de consenso y viabilidad.</w:t>
      </w:r>
    </w:p>
    <w:p w:rsidR="00081A52" w:rsidRDefault="00081A52">
      <w:pPr>
        <w:spacing w:line="360" w:lineRule="auto"/>
        <w:jc w:val="both"/>
        <w:rPr>
          <w:sz w:val="24"/>
        </w:rPr>
      </w:pPr>
    </w:p>
    <w:p w:rsidR="00081A52" w:rsidRDefault="00081A52">
      <w:pPr>
        <w:pStyle w:val="Textoindependiente2"/>
        <w:spacing w:line="360" w:lineRule="auto"/>
        <w:rPr>
          <w:rFonts w:ascii="Times New Roman" w:hAnsi="Times New Roman"/>
        </w:rPr>
      </w:pPr>
      <w:r>
        <w:rPr>
          <w:rFonts w:ascii="Times New Roman" w:hAnsi="Times New Roman"/>
        </w:rPr>
        <w:t xml:space="preserve">En 1998 el tema  de reforma del sector salud surgió nuevamente como un elemento importante de la política social que era necesario definir e impulsar la equidad, la eficiencia y la eficacia de los servicios de salud consiguió un espacio importante y sostenido en el debate político nacional y dio origen a que luego proliferaron múltiples esfuerzos Institucionales que abordaron en el tema de la problemática de la salud y algunos hasta propusieron soluciones; entre los más significativos se pueden mencionar: los realizados por </w:t>
      </w:r>
      <w:smartTag w:uri="urn:schemas-microsoft-com:office:smarttags" w:element="PersonName">
        <w:smartTagPr>
          <w:attr w:name="ProductID" w:val="la Mesa"/>
        </w:smartTagPr>
        <w:r>
          <w:rPr>
            <w:rFonts w:ascii="Times New Roman" w:hAnsi="Times New Roman"/>
          </w:rPr>
          <w:t>la Mesa</w:t>
        </w:r>
      </w:smartTag>
      <w:r>
        <w:rPr>
          <w:rFonts w:ascii="Times New Roman" w:hAnsi="Times New Roman"/>
        </w:rPr>
        <w:t xml:space="preserve"> 13 de </w:t>
      </w:r>
      <w:smartTag w:uri="urn:schemas-microsoft-com:office:smarttags" w:element="PersonName">
        <w:smartTagPr>
          <w:attr w:name="ProductID" w:val="la Comisión Nacional"/>
        </w:smartTagPr>
        <w:r>
          <w:rPr>
            <w:rFonts w:ascii="Times New Roman" w:hAnsi="Times New Roman"/>
          </w:rPr>
          <w:t>la Comisión Nacional</w:t>
        </w:r>
      </w:smartTag>
      <w:r>
        <w:rPr>
          <w:rFonts w:ascii="Times New Roman" w:hAnsi="Times New Roman"/>
        </w:rPr>
        <w:t xml:space="preserve"> de Desarrollo, </w:t>
      </w:r>
      <w:smartTag w:uri="urn:schemas-microsoft-com:office:smarttags" w:element="PersonName">
        <w:smartTagPr>
          <w:attr w:name="ProductID" w:val="la Comisión Nacional"/>
        </w:smartTagPr>
        <w:r>
          <w:rPr>
            <w:rFonts w:ascii="Times New Roman" w:hAnsi="Times New Roman"/>
          </w:rPr>
          <w:t>La Comisión Nacional</w:t>
        </w:r>
      </w:smartTag>
      <w:r>
        <w:rPr>
          <w:rFonts w:ascii="Times New Roman" w:hAnsi="Times New Roman"/>
        </w:rPr>
        <w:t xml:space="preserve"> de Salud (CONASA), Sanidad Militar, Ministerio de Salud Pública y Asistencia Social, Universidad </w:t>
      </w:r>
    </w:p>
    <w:p w:rsidR="00081A52" w:rsidRDefault="00081A52">
      <w:pPr>
        <w:pStyle w:val="Textoindependiente2"/>
        <w:spacing w:line="360" w:lineRule="auto"/>
        <w:rPr>
          <w:rFonts w:ascii="Times New Roman" w:hAnsi="Times New Roman"/>
        </w:rPr>
      </w:pPr>
    </w:p>
    <w:p w:rsidR="00081A52" w:rsidRDefault="00081A52">
      <w:pPr>
        <w:pStyle w:val="Textoindependiente2"/>
        <w:spacing w:line="360" w:lineRule="auto"/>
        <w:rPr>
          <w:rFonts w:ascii="Times New Roman" w:hAnsi="Times New Roman"/>
        </w:rPr>
      </w:pPr>
      <w:r>
        <w:rPr>
          <w:rFonts w:ascii="Times New Roman" w:hAnsi="Times New Roman"/>
        </w:rPr>
        <w:t>de El Salvador, Colegio Médico de El Salvador, Sociedad Dental de El Salvador, Instituto Salvadoreño del Seguro Social, Sindicato de Trabajadores del Seguro Social y un grupo de ONGs que trabajan en el campo de la salud.  Esto demostró el persistente interés en algunas instituciones, por abordar y resolver los problemas de salud que aquejan a la población, pero denotó al mismo tiempo la necesidad de integrar y cohesionar esas inquietudes, al igual que concensuar sus contenidos.</w:t>
      </w:r>
    </w:p>
    <w:p w:rsidR="00081A52" w:rsidRDefault="00081A52">
      <w:pPr>
        <w:spacing w:line="360" w:lineRule="auto"/>
        <w:jc w:val="both"/>
        <w:rPr>
          <w:sz w:val="24"/>
        </w:rPr>
      </w:pPr>
    </w:p>
    <w:p w:rsidR="00081A52" w:rsidRDefault="00081A52">
      <w:pPr>
        <w:spacing w:line="360" w:lineRule="auto"/>
        <w:jc w:val="both"/>
        <w:rPr>
          <w:sz w:val="24"/>
        </w:rPr>
      </w:pPr>
      <w:r>
        <w:rPr>
          <w:sz w:val="24"/>
        </w:rPr>
        <w:t xml:space="preserve">En Agosto de 1999 fue conformado por el decreto Ejecutivo,  el Consejo de Reforma del Sector Salud, el que contó con la representación de diferentes entidades del sector salud y de la sociedad salvadoreña; el  trabajo de esta comisión culminó con la presentación del documento “ Propuesta Integral de Salud”,  la cual  aporta nueve lineamientos para desarrollar la reforma integral y aunque no explícita </w:t>
      </w:r>
      <w:smartTag w:uri="urn:schemas-microsoft-com:office:smarttags" w:element="PersonName">
        <w:smartTagPr>
          <w:attr w:name="ProductID" w:val="La Equidad"/>
        </w:smartTagPr>
        <w:r>
          <w:rPr>
            <w:sz w:val="24"/>
          </w:rPr>
          <w:t>la Equidad</w:t>
        </w:r>
      </w:smartTag>
      <w:r>
        <w:rPr>
          <w:sz w:val="24"/>
        </w:rPr>
        <w:t xml:space="preserve"> en ninguno de ellos, la aborda como el principal reto del Sistema Nacional de Salud y que podría considerase parte del noveno lineamiento que es: Garantizar Servicios Esenciales de Salud a toda </w:t>
      </w:r>
      <w:smartTag w:uri="urn:schemas-microsoft-com:office:smarttags" w:element="PersonName">
        <w:smartTagPr>
          <w:attr w:name="ProductID" w:val="la Población."/>
        </w:smartTagPr>
        <w:r>
          <w:rPr>
            <w:sz w:val="24"/>
          </w:rPr>
          <w:t>la Población.</w:t>
        </w:r>
      </w:smartTag>
      <w:r>
        <w:rPr>
          <w:sz w:val="24"/>
        </w:rPr>
        <w:t xml:space="preserve"> </w:t>
      </w:r>
    </w:p>
    <w:p w:rsidR="00081A52" w:rsidRDefault="00081A52">
      <w:pPr>
        <w:spacing w:line="360" w:lineRule="auto"/>
        <w:jc w:val="both"/>
        <w:rPr>
          <w:sz w:val="24"/>
        </w:rPr>
      </w:pPr>
    </w:p>
    <w:p w:rsidR="00081A52" w:rsidRDefault="00081A52">
      <w:pPr>
        <w:spacing w:line="360" w:lineRule="auto"/>
        <w:jc w:val="both"/>
        <w:rPr>
          <w:sz w:val="24"/>
        </w:rPr>
      </w:pPr>
      <w:r>
        <w:rPr>
          <w:sz w:val="24"/>
        </w:rPr>
        <w:t xml:space="preserve">Actualmente </w:t>
      </w:r>
      <w:smartTag w:uri="urn:schemas-microsoft-com:office:smarttags" w:element="PersonName">
        <w:smartTagPr>
          <w:attr w:name="ProductID" w:val="La Equidad"/>
        </w:smartTagPr>
        <w:r>
          <w:rPr>
            <w:sz w:val="24"/>
          </w:rPr>
          <w:t xml:space="preserve">la </w:t>
        </w:r>
        <w:r>
          <w:rPr>
            <w:b/>
            <w:sz w:val="24"/>
          </w:rPr>
          <w:t>Equidad</w:t>
        </w:r>
      </w:smartTag>
      <w:r>
        <w:rPr>
          <w:sz w:val="24"/>
        </w:rPr>
        <w:t xml:space="preserve"> en la provisión de los servicios de salud continua siendo uno de los principales problemas del sector salud en El Salvador, por lo que se considera una deuda  sanitaria que aun no se ha podido resolver.</w:t>
      </w:r>
    </w:p>
    <w:p w:rsidR="00081A52" w:rsidRDefault="00081A52">
      <w:pPr>
        <w:spacing w:line="360" w:lineRule="auto"/>
        <w:jc w:val="both"/>
        <w:rPr>
          <w:sz w:val="24"/>
        </w:rPr>
      </w:pPr>
    </w:p>
    <w:p w:rsidR="00081A52" w:rsidRDefault="00081A52">
      <w:pPr>
        <w:spacing w:line="360" w:lineRule="auto"/>
        <w:jc w:val="both"/>
        <w:rPr>
          <w:sz w:val="24"/>
        </w:rPr>
      </w:pPr>
      <w:r>
        <w:rPr>
          <w:sz w:val="24"/>
        </w:rPr>
        <w:t>Actualmente el Ministerio de Salud esta llevando a cabo una estrategia de desarrollo Institucional o modernización, orientada a la delegación de funciones, en la que el Ministerio traslada a los Sistemas Básicos de Salud Integral (SIBASI), la función  de gestionar y proveer los servicios de salud a la población de su responsabilidad, de modo que el nivel central del Ministerio de Salud,  se enfoque en su rol rector  del Sistema  de  salud. (Ver esquema tomado del manual Administrativo del SIBASI)</w:t>
      </w:r>
    </w:p>
    <w:p w:rsidR="00081A52" w:rsidRDefault="00081A52">
      <w:pPr>
        <w:spacing w:line="360" w:lineRule="auto"/>
        <w:jc w:val="both"/>
        <w:rPr>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342C74">
      <w:pPr>
        <w:pStyle w:val="Textoindependiente"/>
        <w:spacing w:line="360" w:lineRule="auto"/>
        <w:jc w:val="both"/>
        <w:rPr>
          <w:rFonts w:ascii="Times New Roman" w:hAnsi="Times New Roman"/>
          <w:b/>
          <w:sz w:val="24"/>
        </w:rPr>
      </w:pPr>
      <w:r>
        <w:rPr>
          <w:rFonts w:ascii="Times New Roman" w:hAnsi="Times New Roman"/>
          <w:noProof/>
          <w:sz w:val="24"/>
          <w:lang w:val="es-ES"/>
        </w:rPr>
        <w:lastRenderedPageBreak/>
        <w:drawing>
          <wp:anchor distT="0" distB="0" distL="0" distR="0" simplePos="0" relativeHeight="251618304" behindDoc="0" locked="0" layoutInCell="1" allowOverlap="1">
            <wp:simplePos x="0" y="0"/>
            <wp:positionH relativeFrom="column">
              <wp:posOffset>304800</wp:posOffset>
            </wp:positionH>
            <wp:positionV relativeFrom="paragraph">
              <wp:posOffset>228600</wp:posOffset>
            </wp:positionV>
            <wp:extent cx="5303520" cy="2057400"/>
            <wp:effectExtent l="19050" t="19050" r="68580" b="76200"/>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 cstate="print"/>
                    <a:srcRect/>
                    <a:stretch>
                      <a:fillRect/>
                    </a:stretch>
                  </pic:blipFill>
                  <pic:spPr bwMode="auto">
                    <a:xfrm>
                      <a:off x="0" y="0"/>
                      <a:ext cx="5303520" cy="2057400"/>
                    </a:xfrm>
                    <a:prstGeom prst="rect">
                      <a:avLst/>
                    </a:prstGeom>
                    <a:solidFill>
                      <a:srgbClr val="FFFFFF"/>
                    </a:solidFill>
                    <a:ln w="9525">
                      <a:solidFill>
                        <a:srgbClr val="336699"/>
                      </a:solidFill>
                      <a:miter lim="800000"/>
                      <a:headEnd/>
                      <a:tailEnd/>
                    </a:ln>
                    <a:effectLst>
                      <a:outerShdw dist="71842" dir="2700000" algn="ctr" rotWithShape="0">
                        <a:srgbClr val="336699"/>
                      </a:outerShdw>
                    </a:effectLst>
                  </pic:spPr>
                </pic:pic>
              </a:graphicData>
            </a:graphic>
          </wp:anchor>
        </w:drawing>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outlineLvl w:val="0"/>
        <w:rPr>
          <w:rFonts w:ascii="Times New Roman" w:hAnsi="Times New Roman"/>
          <w:b/>
          <w:sz w:val="18"/>
        </w:rPr>
      </w:pPr>
    </w:p>
    <w:p w:rsidR="00081A52" w:rsidRDefault="00081A52">
      <w:pPr>
        <w:pStyle w:val="Textoindependiente"/>
        <w:spacing w:line="360" w:lineRule="auto"/>
        <w:jc w:val="both"/>
        <w:outlineLvl w:val="0"/>
        <w:rPr>
          <w:rFonts w:ascii="Times New Roman" w:hAnsi="Times New Roman"/>
          <w:b/>
          <w:sz w:val="18"/>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Dentro de este marco  el Ministerio de Salud a través de los SIBASI, está desarrollando estrategias como: Escuelas Saludables, Nutriendo con amor y eliminación de cuotas voluntarias en las unidades de salud etc. no obstante se observa que cada vez más personas de mayores recursos económicos e incluso beneficiarios del ISSS, hacen uso de  los servicios de salud del MSPAS,  quitándole oportunidades a las  familias de menores ingresos especialmente a aquellas  que proceden de las áreas rurales, las cuales tienen que hacer gastos de su bolsillo para trasladarse a la unidades  de salud  y esperar por varias horas para ser atendidos debido al incremento de la demanda que están experimentando dichos establecimientos.</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Al analizar los esfuerzos anteriores en materia de propuestas de reforma del sector  salud en El Salvador se nota que consideran </w:t>
      </w:r>
      <w:smartTag w:uri="urn:schemas-microsoft-com:office:smarttags" w:element="PersonName">
        <w:smartTagPr>
          <w:attr w:name="ProductID" w:val="La Equidad"/>
        </w:smartTagPr>
        <w:r>
          <w:rPr>
            <w:rFonts w:ascii="Times New Roman" w:hAnsi="Times New Roman"/>
            <w:sz w:val="24"/>
          </w:rPr>
          <w:t>la Equidad</w:t>
        </w:r>
      </w:smartTag>
      <w:r>
        <w:rPr>
          <w:rFonts w:ascii="Times New Roman" w:hAnsi="Times New Roman"/>
          <w:sz w:val="24"/>
        </w:rPr>
        <w:t xml:space="preserve"> en salud como un reto a superar  por el sistema de salud salvadoreño, ejemplo de ello es la propuesta  presentada por </w:t>
      </w:r>
      <w:smartTag w:uri="urn:schemas-microsoft-com:office:smarttags" w:element="PersonName">
        <w:smartTagPr>
          <w:attr w:name="ProductID" w:val="la Comisión Nacional"/>
        </w:smartTagPr>
        <w:r>
          <w:rPr>
            <w:rFonts w:ascii="Times New Roman" w:hAnsi="Times New Roman"/>
            <w:sz w:val="24"/>
          </w:rPr>
          <w:t>la Comisión Nacional</w:t>
        </w:r>
      </w:smartTag>
      <w:r>
        <w:rPr>
          <w:rFonts w:ascii="Times New Roman" w:hAnsi="Times New Roman"/>
          <w:sz w:val="24"/>
        </w:rPr>
        <w:t xml:space="preserve"> de Salud  en Febrero de 1999, la cual lleva lineamientos  para garantizar la cobertura de la población  al sistema Nacional de  Salud  y proveer de manera universal un seguro de salud  con prestaciones esenciales y con la participación de todos los  proveedores del sector. De igual manera se pronuncio a favor  de </w:t>
      </w:r>
      <w:smartTag w:uri="urn:schemas-microsoft-com:office:smarttags" w:element="PersonName">
        <w:smartTagPr>
          <w:attr w:name="ProductID" w:val="La Equidad"/>
        </w:smartTagPr>
        <w:r>
          <w:rPr>
            <w:rFonts w:ascii="Times New Roman" w:hAnsi="Times New Roman"/>
            <w:sz w:val="24"/>
          </w:rPr>
          <w:t>la Equidad</w:t>
        </w:r>
      </w:smartTag>
      <w:r>
        <w:rPr>
          <w:rFonts w:ascii="Times New Roman" w:hAnsi="Times New Roman"/>
          <w:sz w:val="24"/>
        </w:rPr>
        <w:t xml:space="preserve"> en salud la propuesta presentada en el mismo año por el Colegio Médico y así como la de </w:t>
      </w:r>
      <w:smartTag w:uri="urn:schemas-microsoft-com:office:smarttags" w:element="PersonName">
        <w:smartTagPr>
          <w:attr w:name="ProductID" w:val="la  Comisión Nacional"/>
        </w:smartTagPr>
        <w:r>
          <w:rPr>
            <w:rFonts w:ascii="Times New Roman" w:hAnsi="Times New Roman"/>
            <w:sz w:val="24"/>
          </w:rPr>
          <w:t>la  Comisión Nacional</w:t>
        </w:r>
      </w:smartTag>
      <w:r>
        <w:rPr>
          <w:rFonts w:ascii="Times New Roman" w:hAnsi="Times New Roman"/>
          <w:sz w:val="24"/>
        </w:rPr>
        <w:t xml:space="preserve"> de Desarrollo contemplada en su documento Bases para el Plan de Nación.</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Para fines del presente estudio consideraremos </w:t>
      </w:r>
      <w:smartTag w:uri="urn:schemas-microsoft-com:office:smarttags" w:element="PersonName">
        <w:smartTagPr>
          <w:attr w:name="ProductID" w:val="La Equidad"/>
        </w:smartTagPr>
        <w:r>
          <w:rPr>
            <w:rFonts w:ascii="Times New Roman" w:hAnsi="Times New Roman"/>
            <w:sz w:val="24"/>
          </w:rPr>
          <w:t>la Equidad</w:t>
        </w:r>
      </w:smartTag>
      <w:r>
        <w:rPr>
          <w:rFonts w:ascii="Times New Roman" w:hAnsi="Times New Roman"/>
          <w:sz w:val="24"/>
        </w:rPr>
        <w:t xml:space="preserve"> como el derecho de todos los salvadoreños y salvadoreñas sin distinción de sexo, edad, religión y procedencia, a tener acceso a servicios de salud con calidad y considerando que la equidad  en salud adquiere una connotación especial, en el sentido que el estado está obligado a velar y garantizar la salud especialmente de los grupos poblacionales más carenciados. Esta investigación hace énfasis en el análisis de las condiciones de equidad en la disponibilidad y utilización de los servicios de salud, poniendo énfasis es estos grupos.</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numPr>
          <w:ilvl w:val="0"/>
          <w:numId w:val="16"/>
        </w:numPr>
        <w:spacing w:line="360" w:lineRule="auto"/>
        <w:rPr>
          <w:rFonts w:ascii="Times New Roman" w:hAnsi="Times New Roman"/>
          <w:b/>
        </w:rPr>
      </w:pPr>
      <w:r>
        <w:rPr>
          <w:rFonts w:ascii="Times New Roman" w:hAnsi="Times New Roman"/>
          <w:b/>
        </w:rPr>
        <w:br w:type="page"/>
      </w:r>
      <w:r>
        <w:rPr>
          <w:rFonts w:ascii="Times New Roman" w:hAnsi="Times New Roman"/>
          <w:b/>
        </w:rPr>
        <w:lastRenderedPageBreak/>
        <w:t>PLANTEAMIENTO DEL PROBLEMA</w:t>
      </w: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En los últimos años el país ha obtenido importantes logros en materia de salud; pero por otra parte, múltiples diagnósticos y estudios a nivel Nacional realizados en años recientes como el informe sobre desarrollo Humano IDH-2001 y  la encuesta de salud familiar FESAL-98 ambos estudios revelan la persistencia de condiciones deficientes de salud, especialmente en grupos poblacionales en mayor riesgo y en sectores de población en situación de marginación y de pobreza, así mismo plantean las ineficiencias e inequidades que se producen en el funcionamiento del sistema de servicios de atención a los usuarios, como un  efecto de las debilidades internas de las instituciones rectora y proveedoras de salud, en cuanto a  su obsolescencia técnica y administrativa y  la falta de proyección hacia una  verdadera Reforma de salud.</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La necesidad de mejorar los niveles de salud de la población demanda de  un análisis de la situación y el planteamiento de  medidas de ajuste sustanciales en cuanto a los modelos de atención, gestión, provisión y financiamiento, así como en el marco legal del sector y de su estructura orgánica funcional, de modo que garantice el acceso a las familias  y comunidades más pobres y vulnerables.</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Al observar el contexto internacional en relación a  los compromisos  y objetivos  que en materia de salud le corresponden a El Salvador, estos van desde los establecidos en </w:t>
      </w:r>
      <w:smartTag w:uri="urn:schemas-microsoft-com:office:smarttags" w:element="PersonName">
        <w:smartTagPr>
          <w:attr w:name="ProductID" w:val="la Declaración"/>
        </w:smartTagPr>
        <w:r>
          <w:rPr>
            <w:rFonts w:ascii="Times New Roman" w:hAnsi="Times New Roman"/>
            <w:sz w:val="24"/>
          </w:rPr>
          <w:t>la Declaración</w:t>
        </w:r>
      </w:smartTag>
      <w:r>
        <w:rPr>
          <w:rFonts w:ascii="Times New Roman" w:hAnsi="Times New Roman"/>
          <w:sz w:val="24"/>
        </w:rPr>
        <w:t xml:space="preserve"> de Alma Ata  (1979), carta de Ottawa (1986) hasta </w:t>
      </w:r>
      <w:smartTag w:uri="urn:schemas-microsoft-com:office:smarttags" w:element="PersonName">
        <w:smartTagPr>
          <w:attr w:name="ProductID" w:val="la  Declaración"/>
        </w:smartTagPr>
        <w:r>
          <w:rPr>
            <w:rFonts w:ascii="Times New Roman" w:hAnsi="Times New Roman"/>
            <w:sz w:val="24"/>
          </w:rPr>
          <w:t>la  Declaración</w:t>
        </w:r>
      </w:smartTag>
      <w:r>
        <w:rPr>
          <w:rFonts w:ascii="Times New Roman" w:hAnsi="Times New Roman"/>
          <w:sz w:val="24"/>
        </w:rPr>
        <w:t xml:space="preserve"> de México para </w:t>
      </w:r>
      <w:smartTag w:uri="urn:schemas-microsoft-com:office:smarttags" w:element="PersonName">
        <w:smartTagPr>
          <w:attr w:name="ProductID" w:val="la Promoción"/>
        </w:smartTagPr>
        <w:r>
          <w:rPr>
            <w:rFonts w:ascii="Times New Roman" w:hAnsi="Times New Roman"/>
            <w:sz w:val="24"/>
          </w:rPr>
          <w:t>la Promoción</w:t>
        </w:r>
      </w:smartTag>
      <w:r>
        <w:rPr>
          <w:rFonts w:ascii="Times New Roman" w:hAnsi="Times New Roman"/>
          <w:sz w:val="24"/>
        </w:rPr>
        <w:t xml:space="preserve"> de </w:t>
      </w:r>
      <w:smartTag w:uri="urn:schemas-microsoft-com:office:smarttags" w:element="PersonName">
        <w:smartTagPr>
          <w:attr w:name="ProductID" w:val="la Salud"/>
        </w:smartTagPr>
        <w:r>
          <w:rPr>
            <w:rFonts w:ascii="Times New Roman" w:hAnsi="Times New Roman"/>
            <w:sz w:val="24"/>
          </w:rPr>
          <w:t>la Salud</w:t>
        </w:r>
      </w:smartTag>
      <w:r>
        <w:rPr>
          <w:rFonts w:ascii="Times New Roman" w:hAnsi="Times New Roman"/>
          <w:sz w:val="24"/>
        </w:rPr>
        <w:t xml:space="preserve"> (2000);  con ello se refleja  que El Salvador al igual que los demás países firmantes, tienen entre otros compromisos: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numPr>
          <w:ilvl w:val="0"/>
          <w:numId w:val="5"/>
        </w:numPr>
        <w:spacing w:line="360" w:lineRule="auto"/>
        <w:ind w:left="714" w:hanging="357"/>
        <w:jc w:val="both"/>
        <w:rPr>
          <w:rFonts w:ascii="Times New Roman" w:hAnsi="Times New Roman"/>
          <w:sz w:val="24"/>
        </w:rPr>
      </w:pPr>
      <w:r>
        <w:rPr>
          <w:rFonts w:ascii="Times New Roman" w:hAnsi="Times New Roman"/>
          <w:sz w:val="24"/>
        </w:rPr>
        <w:t>Mejorar la salud de la población, aumentando los años de vida saludables;</w:t>
      </w:r>
    </w:p>
    <w:p w:rsidR="00081A52" w:rsidRDefault="00081A52">
      <w:pPr>
        <w:pStyle w:val="Textoindependiente"/>
        <w:numPr>
          <w:ilvl w:val="0"/>
          <w:numId w:val="5"/>
        </w:numPr>
        <w:spacing w:line="360" w:lineRule="auto"/>
        <w:ind w:left="714" w:hanging="357"/>
        <w:jc w:val="both"/>
        <w:rPr>
          <w:rFonts w:ascii="Times New Roman" w:hAnsi="Times New Roman"/>
          <w:sz w:val="24"/>
        </w:rPr>
      </w:pPr>
      <w:r>
        <w:rPr>
          <w:rFonts w:ascii="Times New Roman" w:hAnsi="Times New Roman"/>
          <w:sz w:val="24"/>
        </w:rPr>
        <w:t xml:space="preserve">Enfrentar los desafíos derivados de la pobreza, medio ambiente y vulnerabilidad,  </w:t>
      </w:r>
    </w:p>
    <w:p w:rsidR="00081A52" w:rsidRDefault="00081A52">
      <w:pPr>
        <w:pStyle w:val="Textoindependiente"/>
        <w:numPr>
          <w:ilvl w:val="0"/>
          <w:numId w:val="5"/>
        </w:numPr>
        <w:spacing w:line="360" w:lineRule="auto"/>
        <w:ind w:left="714" w:hanging="357"/>
        <w:jc w:val="both"/>
        <w:rPr>
          <w:rFonts w:ascii="Times New Roman" w:hAnsi="Times New Roman"/>
          <w:sz w:val="24"/>
        </w:rPr>
      </w:pPr>
      <w:r>
        <w:rPr>
          <w:rFonts w:ascii="Times New Roman" w:hAnsi="Times New Roman"/>
          <w:sz w:val="24"/>
        </w:rPr>
        <w:t xml:space="preserve">Proveer servicios acordes a las necesidades y expectativas de la población. </w:t>
      </w:r>
    </w:p>
    <w:p w:rsidR="00081A52" w:rsidRDefault="00081A52">
      <w:pPr>
        <w:pStyle w:val="Textoindependiente"/>
        <w:numPr>
          <w:ilvl w:val="0"/>
          <w:numId w:val="5"/>
        </w:numPr>
        <w:spacing w:line="360" w:lineRule="auto"/>
        <w:ind w:left="714" w:hanging="357"/>
        <w:jc w:val="both"/>
        <w:rPr>
          <w:rFonts w:ascii="Times New Roman" w:hAnsi="Times New Roman"/>
          <w:sz w:val="24"/>
        </w:rPr>
      </w:pPr>
      <w:r>
        <w:rPr>
          <w:rFonts w:ascii="Times New Roman" w:hAnsi="Times New Roman"/>
          <w:sz w:val="24"/>
        </w:rPr>
        <w:t>Reducir las desigualdades, apoyando a los grupos mas desposeídos entre otros.</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lastRenderedPageBreak/>
        <w:t xml:space="preserve">Todo esto no será posible sin contar con los mecanismos que garanticen que los servicios de salud lleguen a los más necesitados, especialmente cuando estamos frente a realidades como la de nuestro país, en la cual la deficiencia del  financiamiento del sector salud es uno de los  problemas más serios.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El  informe sobre Desarrollo Humano realizado en El Salvador por el PNUD para el año 2001, presenta un panorama bastante preocupante, especialmente si se analiza en función de </w:t>
      </w:r>
      <w:smartTag w:uri="urn:schemas-microsoft-com:office:smarttags" w:element="PersonName">
        <w:smartTagPr>
          <w:attr w:name="ProductID" w:val="La Equidad"/>
        </w:smartTagPr>
        <w:r>
          <w:rPr>
            <w:rFonts w:ascii="Times New Roman" w:hAnsi="Times New Roman"/>
            <w:sz w:val="24"/>
          </w:rPr>
          <w:t>la Equidad</w:t>
        </w:r>
      </w:smartTag>
      <w:r>
        <w:rPr>
          <w:rFonts w:ascii="Times New Roman" w:hAnsi="Times New Roman"/>
          <w:sz w:val="24"/>
        </w:rPr>
        <w:t>, y más aun si se valora que en la medida que la población obtiene mejores condiciones de salud, mejora su aporte al desarrollo económico y social del  país y de manera recíproca, la mejoría en las condiciones económicas de la población genera mejor salud y bienestar; de allí  la necesidad de evidenciar los comportamientos de las variables de Equidad, de modo que permita generar análisis al respecto; pero especialmente  aportar información clave  para la toma de decisiones en materia de salud.</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Durante los últimos años 10 años han mejorado algunas condiciones de salud; ejemplo de ello fue la erradicación de </w:t>
      </w:r>
      <w:smartTag w:uri="urn:schemas-microsoft-com:office:smarttags" w:element="PersonName">
        <w:smartTagPr>
          <w:attr w:name="ProductID" w:val="la Poliomielitis"/>
        </w:smartTagPr>
        <w:r>
          <w:rPr>
            <w:rFonts w:ascii="Times New Roman" w:hAnsi="Times New Roman"/>
            <w:sz w:val="24"/>
          </w:rPr>
          <w:t>la Poliomielitis</w:t>
        </w:r>
      </w:smartTag>
      <w:r>
        <w:rPr>
          <w:rFonts w:ascii="Times New Roman" w:hAnsi="Times New Roman"/>
          <w:sz w:val="24"/>
        </w:rPr>
        <w:t xml:space="preserve">, las coberturas útiles en la vacunación contra las enfermedades inmunoprevenibles entre otras; sin embargo aun hay grupos  poblacionales que enfrentan dificultades en el acceso a los servicios de salud de primer nivel y más aun a los servicios de segundo y tercer nivel. Al mismo tiempo un gran porcentaje de la población más pobre no tiene acceso a servicios básicos  y fundamentales para la salud como son el agua potable, energía eléctrica y redes sanitarias. </w:t>
      </w: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r>
        <w:rPr>
          <w:rFonts w:ascii="Times New Roman" w:hAnsi="Times New Roman"/>
          <w:b/>
          <w:bCs/>
          <w:sz w:val="24"/>
        </w:rPr>
        <w:lastRenderedPageBreak/>
        <w:t>Gráfica no.1</w:t>
      </w:r>
    </w:p>
    <w:p w:rsidR="00081A52" w:rsidRDefault="00081A52">
      <w:pPr>
        <w:pStyle w:val="Textoindependiente"/>
        <w:spacing w:line="360" w:lineRule="auto"/>
        <w:jc w:val="both"/>
        <w:rPr>
          <w:rFonts w:ascii="Times New Roman" w:hAnsi="Times New Roman"/>
          <w:sz w:val="24"/>
        </w:rPr>
      </w:pPr>
      <w:r>
        <w:rPr>
          <w:rFonts w:ascii="Times New Roman" w:hAnsi="Times New Roman"/>
          <w:noProof/>
          <w:sz w:val="24"/>
        </w:rPr>
        <w:pict>
          <v:rect id="_x0000_s1030" style="position:absolute;left:0;text-align:left;margin-left:28.8pt;margin-top:-8.45pt;width:403.2pt;height:29.65pt;z-index:251608064;v-text-anchor:middle" filled="f" fillcolor="#0c9" stroked="f">
            <o:lock v:ext="edit" grouping="t"/>
            <v:textbox style="mso-next-textbox:#_x0000_s1030">
              <w:txbxContent>
                <w:p w:rsidR="00081A52" w:rsidRDefault="00081A52">
                  <w:pPr>
                    <w:jc w:val="center"/>
                    <w:rPr>
                      <w:snapToGrid w:val="0"/>
                      <w:color w:val="000000"/>
                      <w:sz w:val="22"/>
                      <w:lang w:val="es-ES_tradnl"/>
                    </w:rPr>
                  </w:pPr>
                  <w:r>
                    <w:rPr>
                      <w:b/>
                      <w:snapToGrid w:val="0"/>
                      <w:color w:val="000000"/>
                      <w:sz w:val="22"/>
                      <w:lang w:val="es-ES_tradnl"/>
                    </w:rPr>
                    <w:t>HOGARES SEGÚN DISPONIBILIDAD DE SERVICIOS BASICOS Y AREA GEOGRAFICA, 1999 (en %)</w:t>
                  </w:r>
                  <w:r>
                    <w:rPr>
                      <w:snapToGrid w:val="0"/>
                      <w:color w:val="000000"/>
                      <w:sz w:val="22"/>
                      <w:lang w:val="es-ES_tradnl"/>
                    </w:rPr>
                    <w:t xml:space="preserve"> </w:t>
                  </w:r>
                  <w:r>
                    <w:rPr>
                      <w:snapToGrid w:val="0"/>
                      <w:color w:val="000000"/>
                      <w:sz w:val="22"/>
                      <w:lang w:val="es-ES_tradnl"/>
                    </w:rPr>
                    <w:br/>
                  </w:r>
                </w:p>
              </w:txbxContent>
            </v:textbox>
          </v:rect>
        </w:pict>
      </w:r>
      <w:r>
        <w:rPr>
          <w:rFonts w:ascii="Times New Roman" w:hAnsi="Times New Roman"/>
          <w:noProof/>
          <w:sz w:val="24"/>
        </w:rPr>
        <w:pict>
          <v:rect id="_x0000_s1034" style="position:absolute;left:0;text-align:left;margin-left:1.35pt;margin-top:50.35pt;width:57.6pt;height:136.8pt;z-index:251610112" o:allowincell="f" strokecolor="white">
            <v:textbox style="mso-next-textbox:#_x0000_s1034">
              <w:txbxContent>
                <w:p w:rsidR="00081A52" w:rsidRDefault="00081A52"/>
              </w:txbxContent>
            </v:textbox>
          </v:rect>
        </w:pict>
      </w:r>
    </w:p>
    <w:p w:rsidR="00081A52" w:rsidRDefault="00342C74">
      <w:pPr>
        <w:pStyle w:val="Textoindependiente"/>
        <w:spacing w:line="360" w:lineRule="auto"/>
        <w:jc w:val="right"/>
        <w:rPr>
          <w:rFonts w:ascii="Times New Roman" w:hAnsi="Times New Roman"/>
          <w:b/>
          <w:sz w:val="16"/>
        </w:rPr>
      </w:pPr>
      <w:r>
        <w:rPr>
          <w:rFonts w:ascii="Times New Roman" w:hAnsi="Times New Roman"/>
          <w:noProof/>
          <w:sz w:val="16"/>
          <w:lang w:val="es-ES"/>
        </w:rPr>
        <w:drawing>
          <wp:anchor distT="0" distB="0" distL="114300" distR="114300" simplePos="0" relativeHeight="251609088" behindDoc="0" locked="0" layoutInCell="1" allowOverlap="1">
            <wp:simplePos x="0" y="0"/>
            <wp:positionH relativeFrom="column">
              <wp:posOffset>304800</wp:posOffset>
            </wp:positionH>
            <wp:positionV relativeFrom="paragraph">
              <wp:posOffset>45720</wp:posOffset>
            </wp:positionV>
            <wp:extent cx="5145405" cy="2566670"/>
            <wp:effectExtent l="0" t="0" r="0" b="0"/>
            <wp:wrapTopAndBottom/>
            <wp:docPr id="7" name="Objeto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00081A52">
        <w:rPr>
          <w:rFonts w:ascii="Times New Roman" w:hAnsi="Times New Roman"/>
          <w:sz w:val="16"/>
        </w:rPr>
        <w:t xml:space="preserve">             </w:t>
      </w:r>
      <w:r w:rsidR="00081A52">
        <w:rPr>
          <w:rFonts w:ascii="Times New Roman" w:hAnsi="Times New Roman"/>
          <w:b/>
          <w:sz w:val="16"/>
        </w:rPr>
        <w:t xml:space="preserve">               Fuente: Encuesta de Hogares de propósitos Múltiples 2000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La gráfica No.1 se obtuvo de </w:t>
      </w:r>
      <w:smartTag w:uri="urn:schemas-microsoft-com:office:smarttags" w:element="PersonName">
        <w:smartTagPr>
          <w:attr w:name="ProductID" w:val="la Encuesta"/>
        </w:smartTagPr>
        <w:r>
          <w:rPr>
            <w:rFonts w:ascii="Times New Roman" w:hAnsi="Times New Roman"/>
            <w:sz w:val="24"/>
          </w:rPr>
          <w:t>la Encuesta</w:t>
        </w:r>
      </w:smartTag>
      <w:r>
        <w:rPr>
          <w:rFonts w:ascii="Times New Roman" w:hAnsi="Times New Roman"/>
          <w:sz w:val="24"/>
        </w:rPr>
        <w:t xml:space="preserve"> de Hogares de Propósitos Múltiples  del año 2000 muestra las diferencias en la disponibilidad de servicios básicos según el área geográfica en poblaciones urbanas y rurales.</w:t>
      </w:r>
    </w:p>
    <w:p w:rsidR="00081A52" w:rsidRDefault="00081A52">
      <w:pPr>
        <w:pStyle w:val="Textoindependiente"/>
        <w:spacing w:line="360" w:lineRule="auto"/>
        <w:rPr>
          <w:rFonts w:ascii="Times New Roman" w:hAnsi="Times New Roman"/>
          <w:b/>
          <w:bCs/>
          <w:sz w:val="24"/>
        </w:rPr>
      </w:pPr>
      <w:r>
        <w:rPr>
          <w:rFonts w:ascii="Times New Roman" w:hAnsi="Times New Roman"/>
          <w:b/>
          <w:bCs/>
          <w:sz w:val="24"/>
        </w:rPr>
        <w:t>Gráfica No.2</w:t>
      </w:r>
    </w:p>
    <w:p w:rsidR="00081A52" w:rsidRDefault="00081A52">
      <w:pPr>
        <w:pStyle w:val="Textoindependiente"/>
        <w:spacing w:line="360" w:lineRule="auto"/>
        <w:rPr>
          <w:rFonts w:ascii="Times New Roman" w:hAnsi="Times New Roman"/>
          <w:b/>
          <w:sz w:val="24"/>
        </w:rPr>
      </w:pPr>
      <w:r>
        <w:rPr>
          <w:rFonts w:ascii="Times New Roman" w:hAnsi="Times New Roman"/>
          <w:b/>
          <w:noProof/>
          <w:sz w:val="24"/>
        </w:rPr>
        <w:pict>
          <v:rect id="_x0000_s1035" style="position:absolute;left:0;text-align:left;margin-left:-6pt;margin-top:2.5pt;width:480pt;height:34.3pt;z-index:251611136;v-text-anchor:middle" filled="f" fillcolor="#0c9" stroked="f">
            <o:lock v:ext="edit" grouping="t"/>
            <v:textbox style="mso-next-textbox:#_x0000_s1035">
              <w:txbxContent>
                <w:p w:rsidR="00081A52" w:rsidRDefault="00081A52">
                  <w:pPr>
                    <w:jc w:val="center"/>
                    <w:rPr>
                      <w:b/>
                      <w:snapToGrid w:val="0"/>
                      <w:color w:val="000000"/>
                      <w:sz w:val="22"/>
                      <w:szCs w:val="18"/>
                      <w:lang w:val="es-ES_tradnl"/>
                    </w:rPr>
                  </w:pPr>
                  <w:r>
                    <w:rPr>
                      <w:b/>
                      <w:snapToGrid w:val="0"/>
                      <w:color w:val="000000"/>
                      <w:sz w:val="22"/>
                      <w:szCs w:val="18"/>
                      <w:lang w:val="es-ES_tradnl"/>
                    </w:rPr>
                    <w:t>TASA GLOBAL DE FECUNDIDAD, SEGÚN LUGAR DE RESIDENCIA  DE LAS MUJERES</w:t>
                  </w:r>
                </w:p>
                <w:p w:rsidR="00081A52" w:rsidRDefault="00081A52">
                  <w:pPr>
                    <w:jc w:val="center"/>
                    <w:rPr>
                      <w:b/>
                      <w:snapToGrid w:val="0"/>
                      <w:color w:val="000000"/>
                      <w:sz w:val="22"/>
                      <w:lang w:val="es-ES_tradnl"/>
                    </w:rPr>
                  </w:pPr>
                  <w:r>
                    <w:rPr>
                      <w:b/>
                      <w:snapToGrid w:val="0"/>
                      <w:color w:val="000000"/>
                      <w:sz w:val="22"/>
                      <w:lang w:val="es-ES_tradnl"/>
                    </w:rPr>
                    <w:t xml:space="preserve"> 1988-93, 1993-98</w:t>
                  </w:r>
                </w:p>
                <w:p w:rsidR="00081A52" w:rsidRDefault="00081A52">
                  <w:pPr>
                    <w:jc w:val="center"/>
                    <w:rPr>
                      <w:b/>
                      <w:snapToGrid w:val="0"/>
                      <w:color w:val="000000"/>
                      <w:sz w:val="22"/>
                      <w:lang w:val="es-ES_tradnl"/>
                    </w:rPr>
                  </w:pPr>
                </w:p>
                <w:p w:rsidR="00081A52" w:rsidRDefault="00081A52">
                  <w:pPr>
                    <w:jc w:val="center"/>
                    <w:rPr>
                      <w:snapToGrid w:val="0"/>
                      <w:color w:val="000000"/>
                      <w:sz w:val="22"/>
                      <w:lang w:val="en-GB"/>
                    </w:rPr>
                  </w:pPr>
                  <w:r>
                    <w:rPr>
                      <w:snapToGrid w:val="0"/>
                      <w:color w:val="000000"/>
                      <w:sz w:val="22"/>
                      <w:lang w:val="es-ES_tradnl"/>
                    </w:rPr>
                    <w:br/>
                  </w:r>
                </w:p>
              </w:txbxContent>
            </v:textbox>
          </v:rect>
        </w:pict>
      </w:r>
    </w:p>
    <w:p w:rsidR="00081A52" w:rsidRDefault="00081A52">
      <w:pPr>
        <w:pStyle w:val="Textoindependiente"/>
        <w:spacing w:line="360" w:lineRule="auto"/>
        <w:ind w:firstLine="708"/>
        <w:jc w:val="both"/>
        <w:rPr>
          <w:rFonts w:ascii="Times New Roman" w:hAnsi="Times New Roman"/>
          <w:b/>
          <w:sz w:val="20"/>
        </w:rPr>
      </w:pPr>
    </w:p>
    <w:p w:rsidR="00081A52" w:rsidRDefault="00081A52">
      <w:pPr>
        <w:pStyle w:val="Textoindependiente"/>
        <w:spacing w:line="360" w:lineRule="auto"/>
        <w:ind w:firstLine="708"/>
        <w:jc w:val="both"/>
        <w:rPr>
          <w:rFonts w:ascii="Times New Roman" w:hAnsi="Times New Roman"/>
          <w:b/>
          <w:sz w:val="20"/>
        </w:rPr>
      </w:pPr>
      <w:r>
        <w:rPr>
          <w:rFonts w:ascii="Times New Roman" w:hAnsi="Times New Roman"/>
          <w:b/>
          <w:noProof/>
          <w:sz w:val="20"/>
          <w:lang w:val="es-ES"/>
        </w:rPr>
        <w:pict>
          <v:rect id="_x0000_s1066" style="position:absolute;left:0;text-align:left;margin-left:11.05pt;margin-top:2.65pt;width:456.95pt;height:207pt;z-index:251626496" strokeweight="0"/>
        </w:pict>
      </w:r>
      <w:r>
        <w:rPr>
          <w:rFonts w:ascii="Times New Roman" w:hAnsi="Times New Roman"/>
          <w:b/>
          <w:noProof/>
          <w:sz w:val="20"/>
          <w:lang w:val="es-ES"/>
        </w:rPr>
        <w:pict>
          <v:rect id="_x0000_s1140" style="position:absolute;left:0;text-align:left;margin-left:321.1pt;margin-top:59pt;width:40.55pt;height:14.75pt;z-index:251697152" filled="f" stroked="f">
            <v:textbox inset="0,0,0,0">
              <w:txbxContent>
                <w:p w:rsidR="00081A52" w:rsidRDefault="00081A52">
                  <w:r>
                    <w:rPr>
                      <w:rFonts w:ascii="Arial" w:hAnsi="Arial" w:cs="Arial"/>
                      <w:color w:val="000000"/>
                      <w:lang w:val="en-US"/>
                    </w:rPr>
                    <w:t>4.56</w:t>
                  </w:r>
                </w:p>
              </w:txbxContent>
            </v:textbox>
          </v:rect>
        </w:pict>
      </w:r>
      <w:r>
        <w:rPr>
          <w:rFonts w:ascii="Times New Roman" w:hAnsi="Times New Roman"/>
          <w:b/>
          <w:noProof/>
          <w:sz w:val="20"/>
          <w:lang w:val="es-ES"/>
        </w:rPr>
        <w:pict>
          <v:rect id="_x0000_s1139" style="position:absolute;left:0;text-align:left;margin-left:317.05pt;margin-top:55.2pt;width:41.55pt;height:19.85pt;z-index:251696128" filled="f" stroked="f"/>
        </w:pict>
      </w:r>
      <w:r>
        <w:rPr>
          <w:rFonts w:ascii="Times New Roman" w:hAnsi="Times New Roman"/>
          <w:b/>
          <w:noProof/>
          <w:sz w:val="20"/>
          <w:lang w:val="es-ES"/>
        </w:rPr>
        <w:pict>
          <v:rect id="_x0000_s1137" style="position:absolute;left:0;text-align:left;margin-left:276.5pt;margin-top:35.95pt;width:41.55pt;height:19.85pt;z-index:251695104" filled="f" stroked="f"/>
        </w:pict>
      </w:r>
      <w:r>
        <w:rPr>
          <w:rFonts w:ascii="Times New Roman" w:hAnsi="Times New Roman"/>
          <w:b/>
          <w:noProof/>
          <w:sz w:val="20"/>
          <w:lang w:val="es-ES"/>
        </w:rPr>
        <w:pict>
          <v:rect id="_x0000_s1136" style="position:absolute;left:0;text-align:left;margin-left:282.6pt;margin-top:36.6pt;width:31.4pt;height:14.75pt;z-index:251694080" filled="f" stroked="f">
            <v:textbox inset="0,0,0,0">
              <w:txbxContent>
                <w:p w:rsidR="00081A52" w:rsidRDefault="00081A52">
                  <w:r>
                    <w:rPr>
                      <w:rFonts w:ascii="Arial" w:hAnsi="Arial" w:cs="Arial"/>
                      <w:color w:val="000000"/>
                      <w:lang w:val="en-US"/>
                    </w:rPr>
                    <w:t xml:space="preserve">  4.71</w:t>
                  </w:r>
                </w:p>
              </w:txbxContent>
            </v:textbox>
          </v:rect>
        </w:pict>
      </w:r>
      <w:r>
        <w:rPr>
          <w:rFonts w:ascii="Times New Roman" w:hAnsi="Times New Roman"/>
          <w:b/>
          <w:noProof/>
          <w:sz w:val="20"/>
          <w:lang w:val="es-ES"/>
        </w:rPr>
        <w:pict>
          <v:rect id="_x0000_s1135" style="position:absolute;left:0;text-align:left;margin-left:276.5pt;margin-top:22.5pt;width:35.45pt;height:19.2pt;z-index:251693056" filled="f" stroked="f"/>
        </w:pict>
      </w:r>
      <w:r>
        <w:rPr>
          <w:rFonts w:ascii="Times New Roman" w:hAnsi="Times New Roman"/>
          <w:b/>
          <w:noProof/>
          <w:sz w:val="20"/>
          <w:lang w:val="es-ES"/>
        </w:rPr>
        <w:pict>
          <v:rect id="_x0000_s1134" style="position:absolute;left:0;text-align:left;margin-left:217.75pt;margin-top:87.85pt;width:40.55pt;height:14.75pt;z-index:251692032" filled="f" stroked="f">
            <v:textbox inset="0,0,0,0">
              <w:txbxContent>
                <w:p w:rsidR="00081A52" w:rsidRDefault="00081A52">
                  <w:r>
                    <w:rPr>
                      <w:rFonts w:ascii="Arial" w:hAnsi="Arial" w:cs="Arial"/>
                      <w:color w:val="000000"/>
                      <w:lang w:val="en-US"/>
                    </w:rPr>
                    <w:t>2.79</w:t>
                  </w:r>
                </w:p>
              </w:txbxContent>
            </v:textbox>
          </v:rect>
        </w:pict>
      </w:r>
      <w:r>
        <w:rPr>
          <w:rFonts w:ascii="Times New Roman" w:hAnsi="Times New Roman"/>
          <w:b/>
          <w:noProof/>
          <w:sz w:val="20"/>
          <w:lang w:val="es-ES"/>
        </w:rPr>
        <w:pict>
          <v:rect id="_x0000_s1133" style="position:absolute;left:0;text-align:left;margin-left:212.7pt;margin-top:86.55pt;width:42.55pt;height:27.55pt;z-index:251691008" filled="f" stroked="f"/>
        </w:pict>
      </w:r>
      <w:r>
        <w:rPr>
          <w:rFonts w:ascii="Times New Roman" w:hAnsi="Times New Roman"/>
          <w:b/>
          <w:noProof/>
          <w:sz w:val="20"/>
          <w:lang w:val="es-ES"/>
        </w:rPr>
        <w:pict>
          <v:rect id="_x0000_s1132" style="position:absolute;left:0;text-align:left;margin-left:177.2pt;margin-top:56.45pt;width:40.55pt;height:14.75pt;z-index:251689984" filled="f" stroked="f">
            <v:textbox inset="0,0,0,0">
              <w:txbxContent>
                <w:p w:rsidR="00081A52" w:rsidRDefault="00081A52">
                  <w:r>
                    <w:rPr>
                      <w:rFonts w:ascii="Arial" w:hAnsi="Arial" w:cs="Arial"/>
                      <w:color w:val="000000"/>
                      <w:lang w:val="en-US"/>
                    </w:rPr>
                    <w:t>3.09</w:t>
                  </w:r>
                </w:p>
              </w:txbxContent>
            </v:textbox>
          </v:rect>
        </w:pict>
      </w:r>
      <w:r>
        <w:rPr>
          <w:rFonts w:ascii="Times New Roman" w:hAnsi="Times New Roman"/>
          <w:b/>
          <w:noProof/>
          <w:sz w:val="20"/>
          <w:lang w:val="es-ES"/>
        </w:rPr>
        <w:pict>
          <v:rect id="_x0000_s1131" style="position:absolute;left:0;text-align:left;margin-left:172.15pt;margin-top:55.2pt;width:42.55pt;height:26.25pt;z-index:251688960" filled="f" stroked="f"/>
        </w:pict>
      </w:r>
      <w:r>
        <w:rPr>
          <w:rFonts w:ascii="Times New Roman" w:hAnsi="Times New Roman"/>
          <w:b/>
          <w:noProof/>
          <w:sz w:val="20"/>
          <w:lang w:val="es-ES"/>
        </w:rPr>
        <w:pict>
          <v:rect id="_x0000_s1130" style="position:absolute;left:0;text-align:left;margin-left:112.4pt;margin-top:82.7pt;width:35.45pt;height:12.15pt;z-index:251687936" filled="f" stroked="f">
            <v:textbox inset="0,0,0,0">
              <w:txbxContent>
                <w:p w:rsidR="00081A52" w:rsidRDefault="00081A52">
                  <w:r>
                    <w:rPr>
                      <w:rFonts w:ascii="Arial" w:hAnsi="Arial" w:cs="Arial"/>
                      <w:b/>
                      <w:bCs/>
                      <w:color w:val="000000"/>
                      <w:sz w:val="16"/>
                      <w:szCs w:val="16"/>
                      <w:lang w:val="en-US"/>
                    </w:rPr>
                    <w:t>3.58</w:t>
                  </w:r>
                </w:p>
              </w:txbxContent>
            </v:textbox>
          </v:rect>
        </w:pict>
      </w:r>
      <w:r>
        <w:rPr>
          <w:rFonts w:ascii="Times New Roman" w:hAnsi="Times New Roman"/>
          <w:b/>
          <w:noProof/>
          <w:sz w:val="20"/>
          <w:lang w:val="es-ES"/>
        </w:rPr>
        <w:pict>
          <v:rect id="_x0000_s1129" style="position:absolute;left:0;text-align:left;margin-left:107.3pt;margin-top:80.8pt;width:37.5pt;height:15.35pt;z-index:251686912" filled="f" stroked="f"/>
        </w:pict>
      </w:r>
      <w:r>
        <w:rPr>
          <w:rFonts w:ascii="Times New Roman" w:hAnsi="Times New Roman"/>
          <w:b/>
          <w:noProof/>
          <w:sz w:val="20"/>
          <w:lang w:val="es-ES"/>
        </w:rPr>
        <w:pict>
          <v:rect id="_x0000_s1128" style="position:absolute;left:0;text-align:left;margin-left:85.05pt;margin-top:65.45pt;width:35.45pt;height:12.15pt;z-index:251685888" filled="f" stroked="f">
            <v:textbox inset="0,0,0,0">
              <w:txbxContent>
                <w:p w:rsidR="00081A52" w:rsidRDefault="00081A52">
                  <w:r>
                    <w:rPr>
                      <w:rFonts w:ascii="Arial" w:hAnsi="Arial" w:cs="Arial"/>
                      <w:b/>
                      <w:bCs/>
                      <w:color w:val="000000"/>
                      <w:sz w:val="16"/>
                      <w:szCs w:val="16"/>
                      <w:lang w:val="en-US"/>
                    </w:rPr>
                    <w:t>3.85</w:t>
                  </w:r>
                </w:p>
              </w:txbxContent>
            </v:textbox>
          </v:rect>
        </w:pict>
      </w:r>
      <w:r>
        <w:rPr>
          <w:rFonts w:ascii="Times New Roman" w:hAnsi="Times New Roman"/>
          <w:b/>
          <w:noProof/>
          <w:sz w:val="20"/>
          <w:lang w:val="es-ES"/>
        </w:rPr>
        <w:pict>
          <v:rect id="_x0000_s1127" style="position:absolute;left:0;text-align:left;margin-left:76.9pt;margin-top:61.6pt;width:42.55pt;height:19.85pt;z-index:251684864" filled="f" stroked="f"/>
        </w:pict>
      </w:r>
      <w:r>
        <w:rPr>
          <w:rFonts w:ascii="Times New Roman" w:hAnsi="Times New Roman"/>
          <w:b/>
          <w:noProof/>
          <w:sz w:val="20"/>
          <w:lang w:val="es-ES"/>
        </w:rPr>
        <w:pict>
          <v:rect id="_x0000_s1126" style="position:absolute;left:0;text-align:left;margin-left:11.05pt;margin-top:5.85pt;width:451.9pt;height:174.25pt;z-index:251683840" filled="f" strokeweight="0"/>
        </w:pict>
      </w:r>
      <w:r>
        <w:rPr>
          <w:rFonts w:ascii="Times New Roman" w:hAnsi="Times New Roman"/>
          <w:b/>
          <w:noProof/>
          <w:sz w:val="20"/>
          <w:lang w:val="es-ES"/>
        </w:rPr>
        <w:pict>
          <v:rect id="_x0000_s1125" style="position:absolute;left:0;text-align:left;margin-left:393.05pt;margin-top:87.2pt;width:68.9pt;height:14.75pt;z-index:251682816" filled="f" stroked="f">
            <v:textbox inset="0,0,0,0">
              <w:txbxContent>
                <w:p w:rsidR="00081A52" w:rsidRDefault="00081A52">
                  <w:r>
                    <w:rPr>
                      <w:rFonts w:ascii="Arial" w:hAnsi="Arial" w:cs="Arial"/>
                      <w:color w:val="000000"/>
                      <w:lang w:val="en-US"/>
                    </w:rPr>
                    <w:t>1993-98</w:t>
                  </w:r>
                </w:p>
              </w:txbxContent>
            </v:textbox>
          </v:rect>
        </w:pict>
      </w:r>
      <w:r>
        <w:rPr>
          <w:rFonts w:ascii="Times New Roman" w:hAnsi="Times New Roman"/>
          <w:b/>
          <w:noProof/>
          <w:sz w:val="20"/>
          <w:lang w:val="es-ES"/>
        </w:rPr>
        <w:pict>
          <v:rect id="_x0000_s1124" style="position:absolute;left:0;text-align:left;margin-left:378.85pt;margin-top:90.4pt;width:10.1pt;height:6.4pt;z-index:251681792" fillcolor="#fc9" strokeweight="1pt"/>
        </w:pict>
      </w:r>
      <w:r>
        <w:rPr>
          <w:rFonts w:ascii="Times New Roman" w:hAnsi="Times New Roman"/>
          <w:b/>
          <w:noProof/>
          <w:sz w:val="20"/>
          <w:lang w:val="es-ES"/>
        </w:rPr>
        <w:pict>
          <v:rect id="_x0000_s1123" style="position:absolute;left:0;text-align:left;margin-left:393.05pt;margin-top:71.85pt;width:68.9pt;height:14.75pt;z-index:251680768" filled="f" stroked="f">
            <v:textbox inset="0,0,0,0">
              <w:txbxContent>
                <w:p w:rsidR="00081A52" w:rsidRDefault="00081A52">
                  <w:r>
                    <w:rPr>
                      <w:rFonts w:ascii="Arial" w:hAnsi="Arial" w:cs="Arial"/>
                      <w:color w:val="000000"/>
                      <w:lang w:val="en-US"/>
                    </w:rPr>
                    <w:t>1988-93</w:t>
                  </w:r>
                </w:p>
              </w:txbxContent>
            </v:textbox>
          </v:rect>
        </w:pict>
      </w:r>
      <w:r>
        <w:rPr>
          <w:rFonts w:ascii="Times New Roman" w:hAnsi="Times New Roman"/>
          <w:b/>
          <w:noProof/>
          <w:sz w:val="20"/>
          <w:lang w:val="es-ES"/>
        </w:rPr>
        <w:pict>
          <v:rect id="_x0000_s1122" style="position:absolute;left:0;text-align:left;margin-left:378.85pt;margin-top:75.05pt;width:10.1pt;height:6.4pt;z-index:251679744" fillcolor="#ccf" strokeweight="1pt"/>
        </w:pict>
      </w:r>
      <w:r>
        <w:rPr>
          <w:rFonts w:ascii="Times New Roman" w:hAnsi="Times New Roman"/>
          <w:b/>
          <w:noProof/>
          <w:sz w:val="20"/>
          <w:lang w:val="es-ES"/>
        </w:rPr>
        <w:pict>
          <v:rect id="_x0000_s1121" style="position:absolute;left:0;text-align:left;margin-left:372.75pt;margin-top:69.25pt;width:86.15pt;height:31.4pt;z-index:251678720" strokeweight="0"/>
        </w:pict>
      </w:r>
      <w:r>
        <w:rPr>
          <w:rFonts w:ascii="Times New Roman" w:hAnsi="Times New Roman"/>
          <w:b/>
          <w:noProof/>
          <w:sz w:val="20"/>
          <w:lang w:val="es-ES"/>
        </w:rPr>
        <w:pict>
          <v:rect id="_x0000_s1120" style="position:absolute;left:0;text-align:left;margin-left:285.65pt;margin-top:158.3pt;width:61.8pt;height:14.75pt;z-index:251677696" filled="f" stroked="f">
            <v:textbox inset="0,0,0,0">
              <w:txbxContent>
                <w:p w:rsidR="00081A52" w:rsidRDefault="00081A52">
                  <w:r>
                    <w:rPr>
                      <w:rFonts w:ascii="Arial" w:hAnsi="Arial" w:cs="Arial"/>
                      <w:color w:val="000000"/>
                      <w:lang w:val="en-US"/>
                    </w:rPr>
                    <w:t>RURAL</w:t>
                  </w:r>
                </w:p>
              </w:txbxContent>
            </v:textbox>
          </v:rect>
        </w:pict>
      </w:r>
      <w:r>
        <w:rPr>
          <w:rFonts w:ascii="Times New Roman" w:hAnsi="Times New Roman"/>
          <w:b/>
          <w:noProof/>
          <w:sz w:val="20"/>
          <w:lang w:val="es-ES"/>
        </w:rPr>
        <w:pict>
          <v:rect id="_x0000_s1119" style="position:absolute;left:0;text-align:left;margin-left:178.25pt;margin-top:158.3pt;width:76pt;height:14.75pt;z-index:251676672" filled="f" stroked="f">
            <v:textbox inset="0,0,0,0">
              <w:txbxContent>
                <w:p w:rsidR="00081A52" w:rsidRDefault="00081A52">
                  <w:r>
                    <w:rPr>
                      <w:rFonts w:ascii="Arial" w:hAnsi="Arial" w:cs="Arial"/>
                      <w:color w:val="000000"/>
                      <w:lang w:val="en-US"/>
                    </w:rPr>
                    <w:t>URBANO</w:t>
                  </w:r>
                </w:p>
              </w:txbxContent>
            </v:textbox>
          </v:rect>
        </w:pict>
      </w:r>
      <w:r>
        <w:rPr>
          <w:rFonts w:ascii="Times New Roman" w:hAnsi="Times New Roman"/>
          <w:b/>
          <w:noProof/>
          <w:sz w:val="20"/>
          <w:lang w:val="es-ES"/>
        </w:rPr>
        <w:pict>
          <v:rect id="_x0000_s1118" style="position:absolute;left:0;text-align:left;margin-left:86.05pt;margin-top:158.3pt;width:58.75pt;height:14.75pt;z-index:251675648" filled="f" stroked="f">
            <v:textbox inset="0,0,0,0">
              <w:txbxContent>
                <w:p w:rsidR="00081A52" w:rsidRDefault="00081A52">
                  <w:r>
                    <w:rPr>
                      <w:rFonts w:ascii="Arial" w:hAnsi="Arial" w:cs="Arial"/>
                      <w:color w:val="000000"/>
                      <w:lang w:val="en-US"/>
                    </w:rPr>
                    <w:t>TOTAL</w:t>
                  </w:r>
                </w:p>
              </w:txbxContent>
            </v:textbox>
          </v:rect>
        </w:pict>
      </w:r>
      <w:r>
        <w:rPr>
          <w:rFonts w:ascii="Times New Roman" w:hAnsi="Times New Roman"/>
          <w:b/>
          <w:noProof/>
          <w:sz w:val="20"/>
          <w:lang w:val="es-ES"/>
        </w:rPr>
        <w:pict>
          <v:rect id="_x0000_s1117" style="position:absolute;left:0;text-align:left;margin-left:38.4pt;margin-top:15.45pt;width:17.2pt;height:14.75pt;z-index:251674624" filled="f" stroked="f">
            <v:textbox inset="0,0,0,0">
              <w:txbxContent>
                <w:p w:rsidR="00081A52" w:rsidRDefault="00081A52">
                  <w:r>
                    <w:rPr>
                      <w:rFonts w:ascii="Arial" w:hAnsi="Arial" w:cs="Arial"/>
                      <w:color w:val="000000"/>
                      <w:lang w:val="en-US"/>
                    </w:rPr>
                    <w:t>5</w:t>
                  </w:r>
                </w:p>
              </w:txbxContent>
            </v:textbox>
          </v:rect>
        </w:pict>
      </w:r>
      <w:r>
        <w:rPr>
          <w:rFonts w:ascii="Times New Roman" w:hAnsi="Times New Roman"/>
          <w:b/>
          <w:noProof/>
          <w:sz w:val="20"/>
          <w:lang w:val="es-ES"/>
        </w:rPr>
        <w:pict>
          <v:rect id="_x0000_s1116" style="position:absolute;left:0;text-align:left;margin-left:25.25pt;margin-top:28.25pt;width:31.4pt;height:14.75pt;z-index:251673600" filled="f" stroked="f">
            <v:textbox inset="0,0,0,0">
              <w:txbxContent>
                <w:p w:rsidR="00081A52" w:rsidRDefault="00081A52">
                  <w:r>
                    <w:rPr>
                      <w:rFonts w:ascii="Arial" w:hAnsi="Arial" w:cs="Arial"/>
                      <w:color w:val="000000"/>
                      <w:lang w:val="en-US"/>
                    </w:rPr>
                    <w:t>4.5</w:t>
                  </w:r>
                </w:p>
              </w:txbxContent>
            </v:textbox>
          </v:rect>
        </w:pict>
      </w:r>
      <w:r>
        <w:rPr>
          <w:rFonts w:ascii="Times New Roman" w:hAnsi="Times New Roman"/>
          <w:b/>
          <w:noProof/>
          <w:sz w:val="20"/>
          <w:lang w:val="es-ES"/>
        </w:rPr>
        <w:pict>
          <v:rect id="_x0000_s1115" style="position:absolute;left:0;text-align:left;margin-left:38.4pt;margin-top:41.1pt;width:17.2pt;height:14.75pt;z-index:251672576" filled="f" stroked="f">
            <v:textbox inset="0,0,0,0">
              <w:txbxContent>
                <w:p w:rsidR="00081A52" w:rsidRDefault="00081A52">
                  <w:r>
                    <w:rPr>
                      <w:rFonts w:ascii="Arial" w:hAnsi="Arial" w:cs="Arial"/>
                      <w:color w:val="000000"/>
                      <w:lang w:val="en-US"/>
                    </w:rPr>
                    <w:t>4</w:t>
                  </w:r>
                </w:p>
              </w:txbxContent>
            </v:textbox>
          </v:rect>
        </w:pict>
      </w:r>
      <w:r>
        <w:rPr>
          <w:rFonts w:ascii="Times New Roman" w:hAnsi="Times New Roman"/>
          <w:b/>
          <w:noProof/>
          <w:sz w:val="20"/>
          <w:lang w:val="es-ES"/>
        </w:rPr>
        <w:pict>
          <v:rect id="_x0000_s1114" style="position:absolute;left:0;text-align:left;margin-left:25.25pt;margin-top:53.9pt;width:31.4pt;height:14.75pt;z-index:251671552" filled="f" stroked="f">
            <v:textbox inset="0,0,0,0">
              <w:txbxContent>
                <w:p w:rsidR="00081A52" w:rsidRDefault="00081A52">
                  <w:r>
                    <w:rPr>
                      <w:rFonts w:ascii="Arial" w:hAnsi="Arial" w:cs="Arial"/>
                      <w:color w:val="000000"/>
                      <w:lang w:val="en-US"/>
                    </w:rPr>
                    <w:t>3.5</w:t>
                  </w:r>
                </w:p>
              </w:txbxContent>
            </v:textbox>
          </v:rect>
        </w:pict>
      </w:r>
      <w:r>
        <w:rPr>
          <w:rFonts w:ascii="Times New Roman" w:hAnsi="Times New Roman"/>
          <w:b/>
          <w:noProof/>
          <w:sz w:val="20"/>
          <w:lang w:val="es-ES"/>
        </w:rPr>
        <w:pict>
          <v:rect id="_x0000_s1113" style="position:absolute;left:0;text-align:left;margin-left:38.4pt;margin-top:66.7pt;width:17.2pt;height:14.75pt;z-index:251670528" filled="f" stroked="f">
            <v:textbox inset="0,0,0,0">
              <w:txbxContent>
                <w:p w:rsidR="00081A52" w:rsidRDefault="00081A52">
                  <w:r>
                    <w:rPr>
                      <w:rFonts w:ascii="Arial" w:hAnsi="Arial" w:cs="Arial"/>
                      <w:color w:val="000000"/>
                      <w:lang w:val="en-US"/>
                    </w:rPr>
                    <w:t>3</w:t>
                  </w:r>
                </w:p>
              </w:txbxContent>
            </v:textbox>
          </v:rect>
        </w:pict>
      </w:r>
      <w:r>
        <w:rPr>
          <w:rFonts w:ascii="Times New Roman" w:hAnsi="Times New Roman"/>
          <w:b/>
          <w:noProof/>
          <w:sz w:val="20"/>
          <w:lang w:val="es-ES"/>
        </w:rPr>
        <w:pict>
          <v:rect id="_x0000_s1112" style="position:absolute;left:0;text-align:left;margin-left:25.25pt;margin-top:79.5pt;width:31.4pt;height:14.75pt;z-index:251669504" filled="f" stroked="f">
            <v:textbox inset="0,0,0,0">
              <w:txbxContent>
                <w:p w:rsidR="00081A52" w:rsidRDefault="00081A52">
                  <w:r>
                    <w:rPr>
                      <w:rFonts w:ascii="Arial" w:hAnsi="Arial" w:cs="Arial"/>
                      <w:color w:val="000000"/>
                      <w:lang w:val="en-US"/>
                    </w:rPr>
                    <w:t>2.5</w:t>
                  </w:r>
                </w:p>
              </w:txbxContent>
            </v:textbox>
          </v:rect>
        </w:pict>
      </w:r>
      <w:r>
        <w:rPr>
          <w:rFonts w:ascii="Times New Roman" w:hAnsi="Times New Roman"/>
          <w:b/>
          <w:noProof/>
          <w:sz w:val="20"/>
          <w:lang w:val="es-ES"/>
        </w:rPr>
        <w:pict>
          <v:rect id="_x0000_s1111" style="position:absolute;left:0;text-align:left;margin-left:38.4pt;margin-top:92.35pt;width:17.2pt;height:14.75pt;z-index:251668480" filled="f" stroked="f">
            <v:textbox inset="0,0,0,0">
              <w:txbxContent>
                <w:p w:rsidR="00081A52" w:rsidRDefault="00081A52">
                  <w:r>
                    <w:rPr>
                      <w:rFonts w:ascii="Arial" w:hAnsi="Arial" w:cs="Arial"/>
                      <w:color w:val="000000"/>
                      <w:lang w:val="en-US"/>
                    </w:rPr>
                    <w:t>2</w:t>
                  </w:r>
                </w:p>
              </w:txbxContent>
            </v:textbox>
          </v:rect>
        </w:pict>
      </w:r>
      <w:r>
        <w:rPr>
          <w:rFonts w:ascii="Times New Roman" w:hAnsi="Times New Roman"/>
          <w:b/>
          <w:noProof/>
          <w:sz w:val="20"/>
          <w:lang w:val="es-ES"/>
        </w:rPr>
        <w:pict>
          <v:rect id="_x0000_s1110" style="position:absolute;left:0;text-align:left;margin-left:25.25pt;margin-top:105.15pt;width:31.4pt;height:14.75pt;z-index:251667456" filled="f" stroked="f">
            <v:textbox inset="0,0,0,0">
              <w:txbxContent>
                <w:p w:rsidR="00081A52" w:rsidRDefault="00081A52">
                  <w:r>
                    <w:rPr>
                      <w:rFonts w:ascii="Arial" w:hAnsi="Arial" w:cs="Arial"/>
                      <w:color w:val="000000"/>
                      <w:lang w:val="en-US"/>
                    </w:rPr>
                    <w:t>1.5</w:t>
                  </w:r>
                </w:p>
              </w:txbxContent>
            </v:textbox>
          </v:rect>
        </w:pict>
      </w:r>
      <w:r>
        <w:rPr>
          <w:rFonts w:ascii="Times New Roman" w:hAnsi="Times New Roman"/>
          <w:b/>
          <w:noProof/>
          <w:sz w:val="20"/>
          <w:lang w:val="es-ES"/>
        </w:rPr>
        <w:pict>
          <v:rect id="_x0000_s1109" style="position:absolute;left:0;text-align:left;margin-left:38.4pt;margin-top:117.95pt;width:17.2pt;height:14.75pt;z-index:251666432" filled="f" stroked="f">
            <v:textbox inset="0,0,0,0">
              <w:txbxContent>
                <w:p w:rsidR="00081A52" w:rsidRDefault="00081A52">
                  <w:r>
                    <w:rPr>
                      <w:rFonts w:ascii="Arial" w:hAnsi="Arial" w:cs="Arial"/>
                      <w:color w:val="000000"/>
                      <w:lang w:val="en-US"/>
                    </w:rPr>
                    <w:t>1</w:t>
                  </w:r>
                </w:p>
              </w:txbxContent>
            </v:textbox>
          </v:rect>
        </w:pict>
      </w:r>
      <w:r>
        <w:rPr>
          <w:rFonts w:ascii="Times New Roman" w:hAnsi="Times New Roman"/>
          <w:b/>
          <w:noProof/>
          <w:sz w:val="20"/>
          <w:lang w:val="es-ES"/>
        </w:rPr>
        <w:pict>
          <v:rect id="_x0000_s1108" style="position:absolute;left:0;text-align:left;margin-left:25.25pt;margin-top:130.75pt;width:31.4pt;height:14.75pt;z-index:251665408" filled="f" stroked="f">
            <v:textbox inset="0,0,0,0">
              <w:txbxContent>
                <w:p w:rsidR="00081A52" w:rsidRDefault="00081A52">
                  <w:r>
                    <w:rPr>
                      <w:rFonts w:ascii="Arial" w:hAnsi="Arial" w:cs="Arial"/>
                      <w:color w:val="000000"/>
                      <w:lang w:val="en-US"/>
                    </w:rPr>
                    <w:t>0.5</w:t>
                  </w:r>
                </w:p>
              </w:txbxContent>
            </v:textbox>
          </v:rect>
        </w:pict>
      </w:r>
      <w:r>
        <w:rPr>
          <w:rFonts w:ascii="Times New Roman" w:hAnsi="Times New Roman"/>
          <w:b/>
          <w:noProof/>
          <w:sz w:val="20"/>
          <w:lang w:val="es-ES"/>
        </w:rPr>
        <w:pict>
          <v:rect id="_x0000_s1107" style="position:absolute;left:0;text-align:left;margin-left:38.4pt;margin-top:143.6pt;width:17.2pt;height:14.75pt;z-index:251664384" filled="f" stroked="f">
            <v:textbox inset="0,0,0,0">
              <w:txbxContent>
                <w:p w:rsidR="00081A52" w:rsidRDefault="00081A52">
                  <w:r>
                    <w:rPr>
                      <w:rFonts w:ascii="Arial" w:hAnsi="Arial" w:cs="Arial"/>
                      <w:color w:val="000000"/>
                      <w:lang w:val="en-US"/>
                    </w:rPr>
                    <w:t>0</w:t>
                  </w:r>
                </w:p>
              </w:txbxContent>
            </v:textbox>
          </v:rect>
        </w:pict>
      </w:r>
      <w:r>
        <w:rPr>
          <w:rFonts w:ascii="Times New Roman" w:hAnsi="Times New Roman"/>
          <w:b/>
          <w:noProof/>
          <w:sz w:val="20"/>
          <w:lang w:val="es-ES"/>
        </w:rPr>
        <w:pict>
          <v:line id="_x0000_s1106" style="position:absolute;left:0;text-align:left;flip:y;z-index:251663360" from="361.6pt,149.35pt" to="361.65pt,152.55pt" strokeweight="0"/>
        </w:pict>
      </w:r>
      <w:r>
        <w:rPr>
          <w:rFonts w:ascii="Times New Roman" w:hAnsi="Times New Roman"/>
          <w:b/>
          <w:noProof/>
          <w:sz w:val="20"/>
          <w:lang w:val="es-ES"/>
        </w:rPr>
        <w:pict>
          <v:line id="_x0000_s1105" style="position:absolute;left:0;text-align:left;flip:y;z-index:251662336" from="261.3pt,149.35pt" to="261.35pt,152.55pt" strokeweight="0"/>
        </w:pict>
      </w:r>
      <w:r>
        <w:rPr>
          <w:rFonts w:ascii="Times New Roman" w:hAnsi="Times New Roman"/>
          <w:b/>
          <w:noProof/>
          <w:sz w:val="20"/>
          <w:lang w:val="es-ES"/>
        </w:rPr>
        <w:pict>
          <v:line id="_x0000_s1104" style="position:absolute;left:0;text-align:left;flip:y;z-index:251661312" from="161pt,149.35pt" to="161.05pt,152.55pt" strokeweight="0"/>
        </w:pict>
      </w:r>
      <w:r>
        <w:rPr>
          <w:rFonts w:ascii="Times New Roman" w:hAnsi="Times New Roman"/>
          <w:b/>
          <w:noProof/>
          <w:sz w:val="20"/>
          <w:lang w:val="es-ES"/>
        </w:rPr>
        <w:pict>
          <v:line id="_x0000_s1103" style="position:absolute;left:0;text-align:left;flip:y;z-index:251660288" from="60.7pt,149.35pt" to="60.75pt,152.55pt" strokeweight="0"/>
        </w:pict>
      </w:r>
      <w:r>
        <w:rPr>
          <w:rFonts w:ascii="Times New Roman" w:hAnsi="Times New Roman"/>
          <w:b/>
          <w:noProof/>
          <w:sz w:val="20"/>
          <w:lang w:val="es-ES"/>
        </w:rPr>
        <w:pict>
          <v:line id="_x0000_s1102" style="position:absolute;left:0;text-align:left;z-index:251659264" from="60.7pt,149.35pt" to="361.6pt,149.4pt" strokeweight="0"/>
        </w:pict>
      </w:r>
      <w:r>
        <w:rPr>
          <w:rFonts w:ascii="Times New Roman" w:hAnsi="Times New Roman"/>
          <w:b/>
          <w:noProof/>
          <w:sz w:val="20"/>
          <w:lang w:val="es-ES"/>
        </w:rPr>
        <w:pict>
          <v:line id="_x0000_s1101" style="position:absolute;left:0;text-align:left;z-index:251658240" from="55.65pt,21.25pt" to="60.7pt,21.3pt" strokeweight="0"/>
        </w:pict>
      </w:r>
      <w:r>
        <w:rPr>
          <w:rFonts w:ascii="Times New Roman" w:hAnsi="Times New Roman"/>
          <w:b/>
          <w:noProof/>
          <w:sz w:val="20"/>
          <w:lang w:val="es-ES"/>
        </w:rPr>
        <w:pict>
          <v:line id="_x0000_s1100" style="position:absolute;left:0;text-align:left;z-index:251657216" from="55.65pt,34.05pt" to="60.7pt,34.1pt" strokeweight="0"/>
        </w:pict>
      </w:r>
      <w:r>
        <w:rPr>
          <w:rFonts w:ascii="Times New Roman" w:hAnsi="Times New Roman"/>
          <w:b/>
          <w:noProof/>
          <w:sz w:val="20"/>
          <w:lang w:val="es-ES"/>
        </w:rPr>
        <w:pict>
          <v:line id="_x0000_s1099" style="position:absolute;left:0;text-align:left;z-index:251656192" from="55.65pt,46.85pt" to="60.7pt,46.9pt" strokeweight="0"/>
        </w:pict>
      </w:r>
      <w:r>
        <w:rPr>
          <w:rFonts w:ascii="Times New Roman" w:hAnsi="Times New Roman"/>
          <w:b/>
          <w:noProof/>
          <w:sz w:val="20"/>
          <w:lang w:val="es-ES"/>
        </w:rPr>
        <w:pict>
          <v:line id="_x0000_s1098" style="position:absolute;left:0;text-align:left;z-index:251655168" from="55.65pt,59.65pt" to="60.7pt,59.7pt" strokeweight="0"/>
        </w:pict>
      </w:r>
      <w:r>
        <w:rPr>
          <w:rFonts w:ascii="Times New Roman" w:hAnsi="Times New Roman"/>
          <w:b/>
          <w:noProof/>
          <w:sz w:val="20"/>
          <w:lang w:val="es-ES"/>
        </w:rPr>
        <w:pict>
          <v:line id="_x0000_s1097" style="position:absolute;left:0;text-align:left;z-index:251654144" from="55.65pt,72.45pt" to="60.7pt,72.5pt" strokeweight="0"/>
        </w:pict>
      </w:r>
      <w:r>
        <w:rPr>
          <w:rFonts w:ascii="Times New Roman" w:hAnsi="Times New Roman"/>
          <w:b/>
          <w:noProof/>
          <w:sz w:val="20"/>
          <w:lang w:val="es-ES"/>
        </w:rPr>
        <w:pict>
          <v:line id="_x0000_s1096" style="position:absolute;left:0;text-align:left;z-index:251653120" from="55.65pt,85.3pt" to="60.7pt,85.35pt" strokeweight="0"/>
        </w:pict>
      </w:r>
      <w:r>
        <w:rPr>
          <w:rFonts w:ascii="Times New Roman" w:hAnsi="Times New Roman"/>
          <w:b/>
          <w:noProof/>
          <w:sz w:val="20"/>
          <w:lang w:val="es-ES"/>
        </w:rPr>
        <w:pict>
          <v:line id="_x0000_s1095" style="position:absolute;left:0;text-align:left;z-index:251652096" from="55.65pt,98.1pt" to="60.7pt,98.15pt" strokeweight="0"/>
        </w:pict>
      </w:r>
      <w:r>
        <w:rPr>
          <w:rFonts w:ascii="Times New Roman" w:hAnsi="Times New Roman"/>
          <w:b/>
          <w:noProof/>
          <w:sz w:val="20"/>
          <w:lang w:val="es-ES"/>
        </w:rPr>
        <w:pict>
          <v:line id="_x0000_s1094" style="position:absolute;left:0;text-align:left;z-index:251651072" from="55.65pt,110.9pt" to="60.7pt,110.95pt" strokeweight="0"/>
        </w:pict>
      </w:r>
      <w:r>
        <w:rPr>
          <w:rFonts w:ascii="Times New Roman" w:hAnsi="Times New Roman"/>
          <w:b/>
          <w:noProof/>
          <w:sz w:val="20"/>
          <w:lang w:val="es-ES"/>
        </w:rPr>
        <w:pict>
          <v:line id="_x0000_s1093" style="position:absolute;left:0;text-align:left;z-index:251650048" from="55.65pt,123.7pt" to="60.7pt,123.75pt" strokeweight="0"/>
        </w:pict>
      </w:r>
      <w:r>
        <w:rPr>
          <w:rFonts w:ascii="Times New Roman" w:hAnsi="Times New Roman"/>
          <w:b/>
          <w:noProof/>
          <w:sz w:val="20"/>
          <w:lang w:val="es-ES"/>
        </w:rPr>
        <w:pict>
          <v:line id="_x0000_s1092" style="position:absolute;left:0;text-align:left;z-index:251649024" from="55.65pt,136.55pt" to="60.7pt,136.6pt" strokeweight="0"/>
        </w:pict>
      </w:r>
      <w:r>
        <w:rPr>
          <w:rFonts w:ascii="Times New Roman" w:hAnsi="Times New Roman"/>
          <w:b/>
          <w:noProof/>
          <w:sz w:val="20"/>
          <w:lang w:val="es-ES"/>
        </w:rPr>
        <w:pict>
          <v:line id="_x0000_s1091" style="position:absolute;left:0;text-align:left;z-index:251648000" from="55.65pt,149.35pt" to="60.7pt,149.4pt" strokeweight="0"/>
        </w:pict>
      </w:r>
      <w:r>
        <w:rPr>
          <w:rFonts w:ascii="Times New Roman" w:hAnsi="Times New Roman"/>
          <w:b/>
          <w:noProof/>
          <w:sz w:val="20"/>
          <w:lang w:val="es-ES"/>
        </w:rPr>
        <w:pict>
          <v:line id="_x0000_s1090" style="position:absolute;left:0;text-align:left;z-index:251646976" from="60.7pt,21.25pt" to="60.75pt,149.35pt" strokeweight="0"/>
        </w:pict>
      </w:r>
      <w:r>
        <w:rPr>
          <w:rFonts w:ascii="Times New Roman" w:hAnsi="Times New Roman"/>
          <w:b/>
          <w:noProof/>
          <w:sz w:val="20"/>
          <w:lang w:val="es-ES"/>
        </w:rPr>
        <w:pict>
          <v:rect id="_x0000_s1089" style="position:absolute;left:0;text-align:left;margin-left:311.95pt;margin-top:32.75pt;width:28.4pt;height:116.6pt;z-index:251645952" fillcolor="#fc9" strokeweight="1pt"/>
        </w:pict>
      </w:r>
      <w:r>
        <w:rPr>
          <w:rFonts w:ascii="Times New Roman" w:hAnsi="Times New Roman"/>
          <w:b/>
          <w:noProof/>
          <w:sz w:val="20"/>
          <w:lang w:val="es-ES"/>
        </w:rPr>
        <w:pict>
          <v:rect id="_x0000_s1088" style="position:absolute;left:0;text-align:left;margin-left:211.65pt;margin-top:77.6pt;width:28.4pt;height:71.75pt;z-index:251644928" fillcolor="#fc9" strokeweight="1pt"/>
        </w:pict>
      </w:r>
      <w:r>
        <w:rPr>
          <w:rFonts w:ascii="Times New Roman" w:hAnsi="Times New Roman"/>
          <w:b/>
          <w:noProof/>
          <w:sz w:val="20"/>
          <w:lang w:val="es-ES"/>
        </w:rPr>
        <w:pict>
          <v:rect id="_x0000_s1087" style="position:absolute;left:0;text-align:left;margin-left:111.35pt;margin-top:57.75pt;width:28.4pt;height:91.6pt;z-index:251643904" fillcolor="#fc9" strokeweight="1pt"/>
        </w:pict>
      </w:r>
      <w:r>
        <w:rPr>
          <w:rFonts w:ascii="Times New Roman" w:hAnsi="Times New Roman"/>
          <w:b/>
          <w:noProof/>
          <w:sz w:val="20"/>
          <w:lang w:val="es-ES"/>
        </w:rPr>
        <w:pict>
          <v:rect id="_x0000_s1086" style="position:absolute;left:0;text-align:left;margin-left:282.6pt;margin-top:28.9pt;width:29.35pt;height:120.45pt;z-index:251642880" fillcolor="#ccf" strokeweight="1pt"/>
        </w:pict>
      </w:r>
      <w:r>
        <w:rPr>
          <w:rFonts w:ascii="Times New Roman" w:hAnsi="Times New Roman"/>
          <w:b/>
          <w:noProof/>
          <w:sz w:val="20"/>
          <w:lang w:val="es-ES"/>
        </w:rPr>
        <w:pict>
          <v:rect id="_x0000_s1085" style="position:absolute;left:0;text-align:left;margin-left:182.3pt;margin-top:69.9pt;width:29.35pt;height:79.45pt;z-index:251641856" fillcolor="#ccf" strokeweight="1pt"/>
        </w:pict>
      </w:r>
      <w:r>
        <w:rPr>
          <w:rFonts w:ascii="Times New Roman" w:hAnsi="Times New Roman"/>
          <w:b/>
          <w:noProof/>
          <w:sz w:val="20"/>
          <w:lang w:val="es-ES"/>
        </w:rPr>
        <w:pict>
          <v:rect id="_x0000_s1084" style="position:absolute;left:0;text-align:left;margin-left:82pt;margin-top:50.7pt;width:29.35pt;height:98.65pt;z-index:251640832" fillcolor="#ccf" strokeweight="1pt"/>
        </w:pict>
      </w:r>
      <w:r>
        <w:rPr>
          <w:rFonts w:ascii="Times New Roman" w:hAnsi="Times New Roman"/>
          <w:b/>
          <w:noProof/>
          <w:sz w:val="20"/>
          <w:lang w:val="es-ES"/>
        </w:rPr>
        <w:pict>
          <v:rect id="_x0000_s1083" style="position:absolute;left:0;text-align:left;margin-left:60.7pt;margin-top:21.25pt;width:300.9pt;height:128.1pt;z-index:251639808" filled="f" strokecolor="gray" strokeweight="1pt"/>
        </w:pict>
      </w:r>
      <w:r>
        <w:rPr>
          <w:rFonts w:ascii="Times New Roman" w:hAnsi="Times New Roman"/>
          <w:b/>
          <w:noProof/>
          <w:sz w:val="20"/>
          <w:lang w:val="es-ES"/>
        </w:rPr>
        <w:pict>
          <v:line id="_x0000_s1082" style="position:absolute;left:0;text-align:left;z-index:251638784" from="60.7pt,21.25pt" to="361.6pt,21.3pt" strokeweight="0"/>
        </w:pict>
      </w:r>
      <w:r>
        <w:rPr>
          <w:rFonts w:ascii="Times New Roman" w:hAnsi="Times New Roman"/>
          <w:b/>
          <w:noProof/>
          <w:sz w:val="20"/>
          <w:lang w:val="es-ES"/>
        </w:rPr>
        <w:pict>
          <v:line id="_x0000_s1081" style="position:absolute;left:0;text-align:left;z-index:251637760" from="60.7pt,34.05pt" to="361.6pt,34.1pt" strokeweight="0"/>
        </w:pict>
      </w:r>
      <w:r>
        <w:rPr>
          <w:rFonts w:ascii="Times New Roman" w:hAnsi="Times New Roman"/>
          <w:b/>
          <w:noProof/>
          <w:sz w:val="20"/>
          <w:lang w:val="es-ES"/>
        </w:rPr>
        <w:pict>
          <v:line id="_x0000_s1080" style="position:absolute;left:0;text-align:left;z-index:251636736" from="60.7pt,46.85pt" to="361.6pt,46.9pt" strokeweight="0"/>
        </w:pict>
      </w:r>
      <w:r>
        <w:rPr>
          <w:rFonts w:ascii="Times New Roman" w:hAnsi="Times New Roman"/>
          <w:b/>
          <w:noProof/>
          <w:sz w:val="20"/>
          <w:lang w:val="es-ES"/>
        </w:rPr>
        <w:pict>
          <v:line id="_x0000_s1079" style="position:absolute;left:0;text-align:left;z-index:251635712" from="60.7pt,59.65pt" to="361.6pt,59.7pt" strokeweight="0"/>
        </w:pict>
      </w:r>
      <w:r>
        <w:rPr>
          <w:rFonts w:ascii="Times New Roman" w:hAnsi="Times New Roman"/>
          <w:b/>
          <w:noProof/>
          <w:sz w:val="20"/>
          <w:lang w:val="es-ES"/>
        </w:rPr>
        <w:pict>
          <v:line id="_x0000_s1078" style="position:absolute;left:0;text-align:left;z-index:251634688" from="60.7pt,72.45pt" to="361.6pt,72.5pt" strokeweight="0"/>
        </w:pict>
      </w:r>
      <w:r>
        <w:rPr>
          <w:rFonts w:ascii="Times New Roman" w:hAnsi="Times New Roman"/>
          <w:b/>
          <w:noProof/>
          <w:sz w:val="20"/>
          <w:lang w:val="es-ES"/>
        </w:rPr>
        <w:pict>
          <v:line id="_x0000_s1077" style="position:absolute;left:0;text-align:left;z-index:251633664" from="60.7pt,85.3pt" to="361.6pt,85.35pt" strokeweight="0"/>
        </w:pict>
      </w:r>
      <w:r>
        <w:rPr>
          <w:rFonts w:ascii="Times New Roman" w:hAnsi="Times New Roman"/>
          <w:b/>
          <w:noProof/>
          <w:sz w:val="20"/>
          <w:lang w:val="es-ES"/>
        </w:rPr>
        <w:pict>
          <v:line id="_x0000_s1076" style="position:absolute;left:0;text-align:left;z-index:251632640" from="60.7pt,98.1pt" to="361.6pt,98.15pt" strokeweight="0"/>
        </w:pict>
      </w:r>
      <w:r>
        <w:rPr>
          <w:rFonts w:ascii="Times New Roman" w:hAnsi="Times New Roman"/>
          <w:b/>
          <w:noProof/>
          <w:sz w:val="20"/>
          <w:lang w:val="es-ES"/>
        </w:rPr>
        <w:pict>
          <v:line id="_x0000_s1075" style="position:absolute;left:0;text-align:left;z-index:251631616" from="60.7pt,110.9pt" to="361.6pt,110.95pt" strokeweight="0"/>
        </w:pict>
      </w:r>
      <w:r>
        <w:rPr>
          <w:rFonts w:ascii="Times New Roman" w:hAnsi="Times New Roman"/>
          <w:b/>
          <w:noProof/>
          <w:sz w:val="20"/>
          <w:lang w:val="es-ES"/>
        </w:rPr>
        <w:pict>
          <v:line id="_x0000_s1074" style="position:absolute;left:0;text-align:left;z-index:251630592" from="60.7pt,123.7pt" to="361.6pt,123.75pt" strokeweight="0"/>
        </w:pict>
      </w:r>
      <w:r>
        <w:rPr>
          <w:rFonts w:ascii="Times New Roman" w:hAnsi="Times New Roman"/>
          <w:b/>
          <w:noProof/>
          <w:sz w:val="20"/>
          <w:lang w:val="es-ES"/>
        </w:rPr>
        <w:pict>
          <v:line id="_x0000_s1073" style="position:absolute;left:0;text-align:left;z-index:251629568" from="60.7pt,136.55pt" to="361.6pt,136.6pt" strokeweight="0"/>
        </w:pict>
      </w:r>
      <w:r>
        <w:rPr>
          <w:rFonts w:ascii="Times New Roman" w:hAnsi="Times New Roman"/>
          <w:b/>
          <w:noProof/>
          <w:sz w:val="20"/>
          <w:lang w:val="es-ES"/>
        </w:rPr>
        <w:pict>
          <v:rect id="_x0000_s1072" style="position:absolute;left:0;text-align:left;margin-left:60.7pt;margin-top:21.25pt;width:300.9pt;height:128.1pt;z-index:251628544" filled="f" stroked="f"/>
        </w:pict>
      </w:r>
    </w:p>
    <w:p w:rsidR="00081A52" w:rsidRDefault="00081A52">
      <w:pPr>
        <w:pStyle w:val="Textoindependiente"/>
        <w:spacing w:line="360" w:lineRule="auto"/>
        <w:ind w:firstLine="708"/>
        <w:jc w:val="both"/>
        <w:rPr>
          <w:rFonts w:ascii="Times New Roman" w:hAnsi="Times New Roman"/>
          <w:b/>
          <w:sz w:val="20"/>
        </w:rPr>
      </w:pPr>
      <w:r>
        <w:rPr>
          <w:rFonts w:ascii="Times New Roman" w:hAnsi="Times New Roman"/>
          <w:b/>
          <w:noProof/>
          <w:sz w:val="20"/>
          <w:lang w:val="es-ES"/>
        </w:rPr>
        <w:pict>
          <v:group id="_x0000_s1071" style="position:absolute;left:0;text-align:left;margin-left:60.7pt;margin-top:4pt;width:300.9pt;height:128.1pt;z-index:251627520" coordorigin="2915,9890" coordsize="6018,25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7" type="#_x0000_t75" style="position:absolute;left:2915;top:9890;width:3323;height:2101">
              <v:imagedata r:id="rId11" o:title=""/>
            </v:shape>
            <v:shape id="_x0000_s1068" type="#_x0000_t75" style="position:absolute;left:6238;top:9890;width:2695;height:2101">
              <v:imagedata r:id="rId11" o:title="" cropright=".1875"/>
            </v:shape>
            <v:shape id="_x0000_s1069" type="#_x0000_t75" style="position:absolute;left:2915;top:11991;width:3323;height:461">
              <v:imagedata r:id="rId11" o:title="" cropbottom=".78125"/>
            </v:shape>
            <v:shape id="_x0000_s1070" type="#_x0000_t75" style="position:absolute;left:6238;top:11991;width:2695;height:461">
              <v:imagedata r:id="rId11" o:title="" cropbottom=".78125" cropright=".1875"/>
            </v:shape>
          </v:group>
        </w:pict>
      </w:r>
      <w:r>
        <w:rPr>
          <w:rFonts w:ascii="Times New Roman" w:hAnsi="Times New Roman"/>
          <w:b/>
          <w:noProof/>
          <w:sz w:val="20"/>
          <w:lang w:val="es-ES"/>
        </w:rPr>
        <w:pict>
          <v:shapetype id="_x0000_t202" coordsize="21600,21600" o:spt="202" path="m,l,21600r21600,l21600,xe">
            <v:stroke joinstyle="miter"/>
            <v:path gradientshapeok="t" o:connecttype="rect"/>
          </v:shapetype>
          <v:shape id="_x0000_s1060" type="#_x0000_t202" style="position:absolute;left:0;text-align:left;margin-left:318.6pt;margin-top:16.15pt;width:131.85pt;height:23.15pt;z-index:251699200" o:regroupid="2" filled="f" fillcolor="#0c9" stroked="f">
            <v:textbox style="mso-next-textbox:#_x0000_s1060">
              <w:txbxContent>
                <w:p w:rsidR="00081A52" w:rsidRDefault="00081A52">
                  <w:pPr>
                    <w:rPr>
                      <w:snapToGrid w:val="0"/>
                      <w:color w:val="000000"/>
                      <w:sz w:val="48"/>
                      <w:lang w:val="en-GB"/>
                    </w:rPr>
                  </w:pPr>
                  <w:r>
                    <w:rPr>
                      <w:snapToGrid w:val="0"/>
                      <w:color w:val="000000"/>
                      <w:lang w:val="es-ES_tradnl"/>
                    </w:rPr>
                    <w:t>Servicio Sanitario</w:t>
                  </w:r>
                </w:p>
              </w:txbxContent>
            </v:textbox>
          </v:shape>
        </w:pict>
      </w:r>
    </w:p>
    <w:p w:rsidR="00081A52" w:rsidRDefault="00081A52">
      <w:pPr>
        <w:pStyle w:val="Textoindependiente"/>
        <w:spacing w:line="360" w:lineRule="auto"/>
        <w:ind w:firstLine="708"/>
        <w:jc w:val="both"/>
        <w:rPr>
          <w:rFonts w:ascii="Times New Roman" w:hAnsi="Times New Roman"/>
          <w:b/>
          <w:sz w:val="20"/>
        </w:rPr>
      </w:pPr>
      <w:r>
        <w:rPr>
          <w:rFonts w:ascii="Times New Roman" w:hAnsi="Times New Roman"/>
          <w:b/>
          <w:noProof/>
          <w:sz w:val="20"/>
          <w:lang w:val="es-ES"/>
        </w:rPr>
        <w:pict>
          <v:shape id="_x0000_s1059" type="#_x0000_t202" style="position:absolute;left:0;text-align:left;margin-left:203.25pt;margin-top:12.4pt;width:77pt;height:30.9pt;z-index:251698176" o:regroupid="2" filled="f" fillcolor="#0c9" stroked="f">
            <v:textbox style="mso-next-textbox:#_x0000_s1059">
              <w:txbxContent>
                <w:p w:rsidR="00081A52" w:rsidRDefault="00081A52">
                  <w:pPr>
                    <w:rPr>
                      <w:snapToGrid w:val="0"/>
                      <w:color w:val="000000"/>
                      <w:lang w:val="es-ES_tradnl"/>
                    </w:rPr>
                  </w:pPr>
                  <w:r>
                    <w:rPr>
                      <w:snapToGrid w:val="0"/>
                      <w:color w:val="000000"/>
                      <w:lang w:val="es-ES_tradnl"/>
                    </w:rPr>
                    <w:t>Energía Eléctrica</w:t>
                  </w:r>
                </w:p>
                <w:p w:rsidR="00081A52" w:rsidRDefault="00081A52">
                  <w:pPr>
                    <w:rPr>
                      <w:snapToGrid w:val="0"/>
                      <w:color w:val="000000"/>
                      <w:lang w:val="en-GB"/>
                    </w:rPr>
                  </w:pPr>
                </w:p>
              </w:txbxContent>
            </v:textbox>
          </v:shape>
        </w:pict>
      </w:r>
    </w:p>
    <w:p w:rsidR="00081A52" w:rsidRDefault="00081A52">
      <w:pPr>
        <w:pStyle w:val="Textoindependiente"/>
        <w:spacing w:line="360" w:lineRule="auto"/>
        <w:ind w:firstLine="708"/>
        <w:jc w:val="both"/>
        <w:rPr>
          <w:rFonts w:ascii="Times New Roman" w:hAnsi="Times New Roman"/>
          <w:b/>
          <w:sz w:val="20"/>
        </w:rPr>
      </w:pPr>
    </w:p>
    <w:p w:rsidR="00081A52" w:rsidRDefault="00081A52">
      <w:pPr>
        <w:pStyle w:val="Textoindependiente"/>
        <w:spacing w:line="360" w:lineRule="auto"/>
        <w:ind w:firstLine="708"/>
        <w:jc w:val="both"/>
        <w:rPr>
          <w:rFonts w:ascii="Times New Roman" w:hAnsi="Times New Roman"/>
          <w:b/>
          <w:sz w:val="20"/>
        </w:rPr>
      </w:pPr>
    </w:p>
    <w:p w:rsidR="00081A52" w:rsidRDefault="00081A52">
      <w:pPr>
        <w:pStyle w:val="Textoindependiente"/>
        <w:spacing w:line="360" w:lineRule="auto"/>
        <w:ind w:firstLine="708"/>
        <w:jc w:val="both"/>
        <w:rPr>
          <w:rFonts w:ascii="Times New Roman" w:hAnsi="Times New Roman"/>
          <w:b/>
          <w:sz w:val="20"/>
        </w:rPr>
      </w:pPr>
    </w:p>
    <w:p w:rsidR="00081A52" w:rsidRDefault="00081A52">
      <w:pPr>
        <w:pStyle w:val="Textoindependiente"/>
        <w:spacing w:line="360" w:lineRule="auto"/>
        <w:ind w:firstLine="708"/>
        <w:jc w:val="both"/>
        <w:rPr>
          <w:rFonts w:ascii="Times New Roman" w:hAnsi="Times New Roman"/>
          <w:b/>
          <w:sz w:val="20"/>
        </w:rPr>
      </w:pPr>
    </w:p>
    <w:p w:rsidR="00081A52" w:rsidRDefault="00081A52">
      <w:pPr>
        <w:pStyle w:val="Textoindependiente"/>
        <w:spacing w:line="360" w:lineRule="auto"/>
        <w:ind w:firstLine="708"/>
        <w:jc w:val="both"/>
        <w:rPr>
          <w:rFonts w:ascii="Times New Roman" w:hAnsi="Times New Roman"/>
          <w:b/>
          <w:sz w:val="20"/>
        </w:rPr>
      </w:pPr>
    </w:p>
    <w:p w:rsidR="00081A52" w:rsidRDefault="00081A52">
      <w:pPr>
        <w:pStyle w:val="Textoindependiente"/>
        <w:spacing w:line="360" w:lineRule="auto"/>
        <w:ind w:firstLine="708"/>
        <w:jc w:val="both"/>
        <w:rPr>
          <w:rFonts w:ascii="Times New Roman" w:hAnsi="Times New Roman"/>
          <w:b/>
          <w:sz w:val="20"/>
        </w:rPr>
      </w:pPr>
    </w:p>
    <w:p w:rsidR="00081A52" w:rsidRDefault="00081A52">
      <w:pPr>
        <w:pStyle w:val="Textoindependiente"/>
        <w:spacing w:line="360" w:lineRule="auto"/>
        <w:ind w:firstLine="708"/>
        <w:jc w:val="both"/>
        <w:rPr>
          <w:rFonts w:ascii="Times New Roman" w:hAnsi="Times New Roman"/>
          <w:b/>
          <w:sz w:val="20"/>
        </w:rPr>
      </w:pPr>
    </w:p>
    <w:p w:rsidR="00081A52" w:rsidRDefault="00081A52">
      <w:pPr>
        <w:pStyle w:val="Textoindependiente"/>
        <w:spacing w:line="360" w:lineRule="auto"/>
        <w:ind w:firstLine="708"/>
        <w:jc w:val="both"/>
        <w:rPr>
          <w:rFonts w:ascii="Times New Roman" w:hAnsi="Times New Roman"/>
          <w:b/>
          <w:sz w:val="20"/>
        </w:rPr>
      </w:pPr>
    </w:p>
    <w:p w:rsidR="00081A52" w:rsidRDefault="00081A52">
      <w:pPr>
        <w:pStyle w:val="Textoindependiente"/>
        <w:spacing w:line="360" w:lineRule="auto"/>
        <w:ind w:firstLine="708"/>
        <w:jc w:val="right"/>
        <w:rPr>
          <w:rFonts w:ascii="Times New Roman" w:hAnsi="Times New Roman"/>
          <w:b/>
          <w:bCs/>
          <w:sz w:val="16"/>
        </w:rPr>
      </w:pPr>
    </w:p>
    <w:p w:rsidR="00081A52" w:rsidRDefault="00081A52">
      <w:pPr>
        <w:pStyle w:val="Textoindependiente"/>
        <w:spacing w:line="360" w:lineRule="auto"/>
        <w:ind w:firstLine="708"/>
        <w:jc w:val="right"/>
        <w:rPr>
          <w:rFonts w:ascii="Times New Roman" w:hAnsi="Times New Roman"/>
          <w:b/>
          <w:bCs/>
          <w:sz w:val="16"/>
        </w:rPr>
      </w:pPr>
    </w:p>
    <w:p w:rsidR="00081A52" w:rsidRDefault="00081A52">
      <w:pPr>
        <w:pStyle w:val="Textoindependiente"/>
        <w:spacing w:line="360" w:lineRule="auto"/>
        <w:ind w:firstLine="708"/>
        <w:jc w:val="right"/>
        <w:rPr>
          <w:rFonts w:ascii="Times New Roman" w:hAnsi="Times New Roman"/>
          <w:b/>
          <w:bCs/>
          <w:sz w:val="16"/>
        </w:rPr>
      </w:pPr>
    </w:p>
    <w:p w:rsidR="00081A52" w:rsidRDefault="00081A52">
      <w:pPr>
        <w:pStyle w:val="Textoindependiente"/>
        <w:spacing w:line="360" w:lineRule="auto"/>
        <w:ind w:firstLine="708"/>
        <w:jc w:val="right"/>
        <w:rPr>
          <w:rFonts w:ascii="Times New Roman" w:hAnsi="Times New Roman"/>
          <w:b/>
          <w:bCs/>
          <w:sz w:val="16"/>
        </w:rPr>
      </w:pPr>
      <w:r>
        <w:rPr>
          <w:rFonts w:ascii="Times New Roman" w:hAnsi="Times New Roman"/>
          <w:b/>
          <w:bCs/>
          <w:sz w:val="16"/>
        </w:rPr>
        <w:t>Fuente: Encuesta Nacional de Salud Familiar FESAL 98</w:t>
      </w: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En la gráfica No. 2, se observa la tasa de fecundidad en el área urbana y rural; siendo su comportamiento en el área rural  mucho mayor, en los periodos estudiados.</w:t>
      </w: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r>
        <w:rPr>
          <w:rFonts w:ascii="Times New Roman" w:hAnsi="Times New Roman"/>
          <w:b/>
          <w:bCs/>
          <w:sz w:val="24"/>
        </w:rPr>
        <w:t>Gráfica No.3</w:t>
      </w:r>
    </w:p>
    <w:p w:rsidR="00081A52" w:rsidRDefault="00081A52">
      <w:pPr>
        <w:pStyle w:val="Textoindependiente"/>
        <w:spacing w:line="360" w:lineRule="auto"/>
        <w:jc w:val="both"/>
        <w:outlineLvl w:val="0"/>
        <w:rPr>
          <w:rFonts w:ascii="Times New Roman" w:hAnsi="Times New Roman"/>
          <w:b/>
          <w:sz w:val="22"/>
        </w:rPr>
      </w:pPr>
      <w:r>
        <w:rPr>
          <w:rFonts w:ascii="Times New Roman" w:hAnsi="Times New Roman"/>
          <w:b/>
          <w:sz w:val="22"/>
        </w:rPr>
        <w:t>TASA GLOBAL DE FECUNDIDAD, SEGÚN NIVEL EDUCATIVO  DE LAS MUJERES</w:t>
      </w:r>
    </w:p>
    <w:p w:rsidR="00081A52" w:rsidRDefault="00342C74">
      <w:pPr>
        <w:pStyle w:val="Textoindependiente"/>
        <w:spacing w:line="360" w:lineRule="auto"/>
        <w:jc w:val="both"/>
        <w:outlineLvl w:val="0"/>
        <w:rPr>
          <w:rFonts w:ascii="Times New Roman" w:hAnsi="Times New Roman"/>
          <w:b/>
          <w:sz w:val="22"/>
        </w:rPr>
      </w:pPr>
      <w:r>
        <w:rPr>
          <w:rFonts w:ascii="Times New Roman" w:hAnsi="Times New Roman"/>
          <w:b/>
          <w:noProof/>
          <w:sz w:val="20"/>
          <w:lang w:val="es-ES"/>
        </w:rPr>
        <w:drawing>
          <wp:anchor distT="0" distB="0" distL="114300" distR="114300" simplePos="0" relativeHeight="251612160" behindDoc="0" locked="0" layoutInCell="1" allowOverlap="1">
            <wp:simplePos x="0" y="0"/>
            <wp:positionH relativeFrom="column">
              <wp:posOffset>-76200</wp:posOffset>
            </wp:positionH>
            <wp:positionV relativeFrom="paragraph">
              <wp:posOffset>307975</wp:posOffset>
            </wp:positionV>
            <wp:extent cx="5867400" cy="2159635"/>
            <wp:effectExtent l="0" t="3175" r="0" b="0"/>
            <wp:wrapTopAndBottom/>
            <wp:docPr id="13" name="Objeto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00081A52">
        <w:rPr>
          <w:rFonts w:ascii="Times New Roman" w:hAnsi="Times New Roman"/>
          <w:b/>
          <w:sz w:val="22"/>
        </w:rPr>
        <w:t>(1988-93 Y 1993-98).</w:t>
      </w:r>
    </w:p>
    <w:p w:rsidR="00081A52" w:rsidRDefault="00081A52">
      <w:pPr>
        <w:pStyle w:val="Textoindependiente"/>
        <w:spacing w:line="360" w:lineRule="auto"/>
        <w:ind w:firstLine="708"/>
        <w:jc w:val="right"/>
        <w:rPr>
          <w:rFonts w:ascii="Times New Roman" w:hAnsi="Times New Roman"/>
          <w:sz w:val="16"/>
        </w:rPr>
      </w:pPr>
      <w:r>
        <w:rPr>
          <w:rFonts w:ascii="Times New Roman" w:hAnsi="Times New Roman"/>
          <w:sz w:val="16"/>
        </w:rPr>
        <w:t>Fuente: Encuesta Nacional de Salud Familiar FESAL 98</w:t>
      </w:r>
    </w:p>
    <w:p w:rsidR="00081A52" w:rsidRDefault="00081A52">
      <w:pPr>
        <w:pStyle w:val="Textoindependiente"/>
        <w:spacing w:line="360" w:lineRule="auto"/>
        <w:jc w:val="both"/>
        <w:rPr>
          <w:rFonts w:ascii="Times New Roman" w:hAnsi="Times New Roman"/>
          <w:b/>
          <w:sz w:val="24"/>
        </w:rPr>
      </w:pPr>
      <w:r>
        <w:rPr>
          <w:rFonts w:ascii="Times New Roman" w:hAnsi="Times New Roman"/>
          <w:sz w:val="24"/>
        </w:rPr>
        <w:t xml:space="preserve">La gráfica No.3 muestra la misma variable en  relación con el  nivel Educativo,  indica  claramente  que a menor nivel educativo, la tasa de fecundidad es mayor.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rPr>
          <w:rFonts w:ascii="Times New Roman" w:hAnsi="Times New Roman"/>
          <w:b/>
          <w:bCs/>
          <w:sz w:val="24"/>
        </w:rPr>
      </w:pPr>
      <w:r>
        <w:rPr>
          <w:rFonts w:ascii="Times New Roman" w:hAnsi="Times New Roman"/>
          <w:b/>
          <w:bCs/>
          <w:sz w:val="24"/>
        </w:rPr>
        <w:t>Tabla No.1</w:t>
      </w:r>
    </w:p>
    <w:p w:rsidR="00081A52" w:rsidRDefault="00081A52">
      <w:pPr>
        <w:pStyle w:val="Textoindependiente"/>
        <w:spacing w:line="360" w:lineRule="auto"/>
        <w:jc w:val="both"/>
        <w:outlineLvl w:val="0"/>
        <w:rPr>
          <w:rFonts w:ascii="Times New Roman" w:hAnsi="Times New Roman"/>
          <w:b/>
          <w:sz w:val="22"/>
        </w:rPr>
      </w:pPr>
      <w:r>
        <w:rPr>
          <w:rFonts w:ascii="Times New Roman" w:hAnsi="Times New Roman"/>
          <w:b/>
          <w:noProof/>
          <w:sz w:val="24"/>
        </w:rPr>
        <w:pict>
          <v:shape id="_x0000_s1038" type="#_x0000_t75" style="position:absolute;left:0;text-align:left;margin-left:6pt;margin-top:45.8pt;width:440.95pt;height:107.85pt;z-index:251613184" fillcolor="#0c9">
            <v:imagedata r:id="rId13" o:title="" croptop="18516f"/>
            <w10:wrap type="topAndBottom"/>
          </v:shape>
          <o:OLEObject Type="Embed" ProgID="Excel.Sheet.8" ShapeID="_x0000_s1038" DrawAspect="Content" ObjectID="_1347689870" r:id="rId14"/>
        </w:pict>
      </w:r>
      <w:r>
        <w:rPr>
          <w:rFonts w:ascii="Times New Roman" w:hAnsi="Times New Roman"/>
          <w:b/>
          <w:sz w:val="22"/>
        </w:rPr>
        <w:t>DEMANDA DE SERVICIOS DE SALUD; SEGÚN CENTRO QUE CONSULTARON Y SEGÚN NIVEL SOCIOECONÓMICO  (1999)</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smartTag w:uri="urn:schemas-microsoft-com:office:smarttags" w:element="PersonName">
        <w:smartTagPr>
          <w:attr w:name="ProductID" w:val="La Tabla No.1"/>
        </w:smartTagPr>
        <w:r>
          <w:rPr>
            <w:rFonts w:ascii="Times New Roman" w:hAnsi="Times New Roman"/>
            <w:sz w:val="24"/>
          </w:rPr>
          <w:t>La Tabla No.1</w:t>
        </w:r>
      </w:smartTag>
      <w:r>
        <w:rPr>
          <w:rFonts w:ascii="Times New Roman" w:hAnsi="Times New Roman"/>
          <w:sz w:val="24"/>
        </w:rPr>
        <w:t xml:space="preserve">  presenta comportamientos de los usuarios de acuerdo a su condición económica, con relación a la utilización que hace la población  de los servicios de salud; esto se profundizó con las evidencias recogidas en el presente estudio.</w:t>
      </w:r>
    </w:p>
    <w:p w:rsidR="00081A52" w:rsidRDefault="00081A52">
      <w:pPr>
        <w:pStyle w:val="Textoindependiente"/>
        <w:outlineLvl w:val="0"/>
        <w:rPr>
          <w:rFonts w:ascii="Times New Roman" w:hAnsi="Times New Roman"/>
          <w:b/>
          <w:bCs/>
          <w:sz w:val="24"/>
        </w:rPr>
      </w:pPr>
      <w:r>
        <w:rPr>
          <w:rFonts w:ascii="Times New Roman" w:hAnsi="Times New Roman"/>
          <w:b/>
          <w:bCs/>
          <w:sz w:val="24"/>
        </w:rPr>
        <w:lastRenderedPageBreak/>
        <w:t>Gráfica No.4</w:t>
      </w:r>
    </w:p>
    <w:p w:rsidR="00081A52" w:rsidRDefault="00081A52">
      <w:pPr>
        <w:pStyle w:val="Textoindependiente"/>
        <w:rPr>
          <w:rFonts w:ascii="Times New Roman" w:hAnsi="Times New Roman"/>
          <w:b/>
          <w:bCs/>
          <w:sz w:val="22"/>
        </w:rPr>
      </w:pPr>
      <w:r>
        <w:rPr>
          <w:rFonts w:ascii="Times New Roman" w:hAnsi="Times New Roman"/>
          <w:b/>
          <w:bCs/>
          <w:sz w:val="22"/>
        </w:rPr>
        <w:t>PORCENTAJE DEL CONTROL PRENATAL EN MUJERES DE 15 – 45 AÑOS</w:t>
      </w:r>
    </w:p>
    <w:p w:rsidR="00081A52" w:rsidRDefault="00081A52">
      <w:pPr>
        <w:pStyle w:val="Textoindependiente"/>
        <w:rPr>
          <w:rFonts w:ascii="Times New Roman" w:hAnsi="Times New Roman"/>
          <w:b/>
          <w:bCs/>
          <w:sz w:val="24"/>
        </w:rPr>
      </w:pPr>
      <w:r>
        <w:rPr>
          <w:rFonts w:ascii="Times New Roman" w:hAnsi="Times New Roman"/>
          <w:b/>
          <w:noProof/>
          <w:sz w:val="24"/>
        </w:rPr>
        <w:pict>
          <v:shape id="_x0000_s1039" type="#_x0000_t75" style="position:absolute;left:0;text-align:left;margin-left:12pt;margin-top:3.55pt;width:414pt;height:191.45pt;z-index:251614208;visibility:visible;mso-wrap-edited:f" fillcolor="black">
            <v:fill color2="black"/>
            <v:imagedata r:id="rId15" o:title="" croptop="11063f" cropleft="5752f" cropright="6870f"/>
            <v:shadow color="black"/>
          </v:shape>
          <o:OLEObject Type="Embed" ProgID="Word.Picture.8" ShapeID="_x0000_s1039" DrawAspect="Content" ObjectID="_1347689871" r:id="rId16"/>
        </w:pict>
      </w:r>
      <w:r>
        <w:rPr>
          <w:rFonts w:ascii="Times New Roman" w:hAnsi="Times New Roman"/>
          <w:b/>
          <w:bCs/>
          <w:sz w:val="22"/>
        </w:rPr>
        <w:t>SEGÚN LUGAR DE RESIDENCIA</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right"/>
        <w:rPr>
          <w:rFonts w:ascii="Times New Roman" w:hAnsi="Times New Roman"/>
          <w:b/>
          <w:sz w:val="16"/>
        </w:rPr>
      </w:pPr>
      <w:r>
        <w:rPr>
          <w:rFonts w:ascii="Times New Roman" w:hAnsi="Times New Roman"/>
          <w:b/>
          <w:sz w:val="16"/>
        </w:rPr>
        <w:t>Fuente: Sistema integrad de estadísticas de salud del  MSPAS</w:t>
      </w:r>
    </w:p>
    <w:p w:rsidR="00081A52" w:rsidRDefault="00081A52">
      <w:pPr>
        <w:pStyle w:val="Textoindependiente"/>
        <w:spacing w:line="360" w:lineRule="auto"/>
        <w:jc w:val="both"/>
        <w:outlineLvl w:val="0"/>
        <w:rPr>
          <w:rFonts w:ascii="Times New Roman" w:hAnsi="Times New Roman"/>
          <w:sz w:val="24"/>
        </w:rPr>
      </w:pPr>
      <w:r>
        <w:rPr>
          <w:rFonts w:ascii="Times New Roman" w:hAnsi="Times New Roman"/>
          <w:sz w:val="24"/>
        </w:rPr>
        <w:t>En la gráfica No. 4 puede observarse la utilización de los servicios de salud como es el control prenatal, el cual presenta diferencias  el cual presenta diferencias con  relación a la procedencia de las usuarias y la brecha en cada grupo.</w:t>
      </w:r>
    </w:p>
    <w:p w:rsidR="00081A52" w:rsidRDefault="00081A52">
      <w:pPr>
        <w:pStyle w:val="Textoindependiente"/>
        <w:rPr>
          <w:rFonts w:ascii="Times New Roman" w:hAnsi="Times New Roman"/>
          <w:b/>
          <w:bCs/>
          <w:sz w:val="24"/>
        </w:rPr>
      </w:pPr>
      <w:r>
        <w:rPr>
          <w:rFonts w:ascii="Times New Roman" w:hAnsi="Times New Roman"/>
          <w:b/>
          <w:bCs/>
          <w:sz w:val="24"/>
        </w:rPr>
        <w:t>Gráfica No.5</w:t>
      </w:r>
    </w:p>
    <w:p w:rsidR="00081A52" w:rsidRDefault="00342C74">
      <w:pPr>
        <w:pStyle w:val="Textoindependiente3"/>
        <w:rPr>
          <w:sz w:val="22"/>
        </w:rPr>
      </w:pPr>
      <w:r>
        <w:rPr>
          <w:b w:val="0"/>
          <w:noProof/>
          <w:snapToGrid/>
          <w:lang w:val="es-ES"/>
        </w:rPr>
        <w:drawing>
          <wp:anchor distT="0" distB="0" distL="114300" distR="114300" simplePos="0" relativeHeight="251615232" behindDoc="0" locked="0" layoutInCell="1" allowOverlap="1">
            <wp:simplePos x="0" y="0"/>
            <wp:positionH relativeFrom="column">
              <wp:posOffset>152400</wp:posOffset>
            </wp:positionH>
            <wp:positionV relativeFrom="paragraph">
              <wp:posOffset>605155</wp:posOffset>
            </wp:positionV>
            <wp:extent cx="5346065" cy="2421255"/>
            <wp:effectExtent l="0" t="0" r="0" b="2540"/>
            <wp:wrapTopAndBottom/>
            <wp:docPr id="17" name="Objeto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00081A52">
        <w:rPr>
          <w:b w:val="0"/>
          <w:noProof/>
          <w:snapToGrid/>
          <w:lang w:val="es-ES"/>
        </w:rPr>
        <w:pict>
          <v:shape id="_x0000_s1141" type="#_x0000_t202" style="position:absolute;left:0;text-align:left;margin-left:60pt;margin-top:166.1pt;width:36pt;height:18pt;z-index:251702272;mso-position-horizontal-relative:text;mso-position-vertical-relative:text" filled="f" fillcolor="black" stroked="f" strokecolor="white" strokeweight="3e-5mm">
            <v:textbox>
              <w:txbxContent>
                <w:p w:rsidR="00081A52" w:rsidRDefault="00081A52">
                  <w:pPr>
                    <w:autoSpaceDE w:val="0"/>
                    <w:autoSpaceDN w:val="0"/>
                    <w:adjustRightInd w:val="0"/>
                    <w:rPr>
                      <w:sz w:val="18"/>
                      <w:szCs w:val="24"/>
                    </w:rPr>
                  </w:pPr>
                  <w:r>
                    <w:rPr>
                      <w:sz w:val="18"/>
                      <w:szCs w:val="24"/>
                    </w:rPr>
                    <w:t>52.5</w:t>
                  </w:r>
                </w:p>
                <w:p w:rsidR="00081A52" w:rsidRDefault="00081A52">
                  <w:pPr>
                    <w:autoSpaceDE w:val="0"/>
                    <w:autoSpaceDN w:val="0"/>
                    <w:adjustRightInd w:val="0"/>
                    <w:rPr>
                      <w:szCs w:val="24"/>
                    </w:rPr>
                  </w:pPr>
                </w:p>
              </w:txbxContent>
            </v:textbox>
          </v:shape>
        </w:pict>
      </w:r>
      <w:r w:rsidR="00081A52">
        <w:rPr>
          <w:szCs w:val="18"/>
        </w:rPr>
        <w:t>PORCENTAJE DE ATENCION  INTRAHOSPITALARIA DEL PARTO SEGÚN  LUGAR DE RESIDENCIA DE LAS PACIENTES</w:t>
      </w:r>
      <w:r w:rsidR="00081A52">
        <w:rPr>
          <w:szCs w:val="18"/>
        </w:rPr>
        <w:br/>
      </w:r>
      <w:r w:rsidR="00081A52">
        <w:rPr>
          <w:sz w:val="22"/>
        </w:rPr>
        <w:t>(en mujeres de 15-49años)  (1983-1998)</w:t>
      </w:r>
    </w:p>
    <w:p w:rsidR="00081A52" w:rsidRDefault="00081A52">
      <w:pPr>
        <w:pStyle w:val="Textoindependiente"/>
        <w:spacing w:line="360" w:lineRule="auto"/>
        <w:ind w:firstLine="708"/>
        <w:jc w:val="right"/>
        <w:rPr>
          <w:rFonts w:ascii="Times New Roman" w:hAnsi="Times New Roman"/>
          <w:sz w:val="16"/>
        </w:rPr>
      </w:pPr>
      <w:r>
        <w:rPr>
          <w:rFonts w:ascii="Times New Roman" w:hAnsi="Times New Roman"/>
          <w:sz w:val="16"/>
        </w:rPr>
        <w:t>Fuente: FESAL-1998</w:t>
      </w: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Con relación a la utilización de los servicios de atención de parto en Hospitales, la gráfica No.5,  muestra la utilización que hacen las mujeres provenientes del área rural la cual  es más baja que la que hacen las mujeres del área urbana.</w:t>
      </w:r>
    </w:p>
    <w:p w:rsidR="00081A52" w:rsidRDefault="00081A52">
      <w:pPr>
        <w:pStyle w:val="Textoindependiente"/>
        <w:spacing w:line="360" w:lineRule="auto"/>
        <w:rPr>
          <w:rFonts w:ascii="Times New Roman" w:hAnsi="Times New Roman"/>
          <w:b/>
          <w:bCs/>
          <w:sz w:val="24"/>
        </w:rPr>
      </w:pPr>
    </w:p>
    <w:p w:rsidR="00081A52" w:rsidRDefault="00081A52">
      <w:pPr>
        <w:pStyle w:val="Textoindependiente"/>
        <w:spacing w:line="360" w:lineRule="auto"/>
        <w:rPr>
          <w:rFonts w:ascii="Times New Roman" w:hAnsi="Times New Roman"/>
          <w:b/>
          <w:sz w:val="24"/>
        </w:rPr>
      </w:pPr>
      <w:r>
        <w:rPr>
          <w:rFonts w:ascii="Times New Roman" w:hAnsi="Times New Roman"/>
          <w:b/>
          <w:bCs/>
          <w:sz w:val="24"/>
        </w:rPr>
        <w:lastRenderedPageBreak/>
        <w:t>Gráfica No.6</w:t>
      </w:r>
      <w:r>
        <w:rPr>
          <w:rFonts w:ascii="Times New Roman" w:hAnsi="Times New Roman"/>
          <w:b/>
          <w:noProof/>
          <w:sz w:val="24"/>
        </w:rPr>
        <w:pict>
          <v:rect id="_x0000_s1042" style="position:absolute;left:0;text-align:left;margin-left:-7pt;margin-top:11.1pt;width:453.6pt;height:43.75pt;z-index:251616256;mso-position-horizontal-relative:text;mso-position-vertical-relative:text;v-text-anchor:middle" filled="f" fillcolor="#0c9" stroked="f">
            <o:lock v:ext="edit" grouping="t"/>
            <v:textbox style="mso-next-textbox:#_x0000_s1042">
              <w:txbxContent>
                <w:p w:rsidR="00081A52" w:rsidRDefault="00081A52">
                  <w:pPr>
                    <w:jc w:val="center"/>
                    <w:rPr>
                      <w:sz w:val="22"/>
                      <w:szCs w:val="16"/>
                      <w:lang w:val="es-ES_tradnl"/>
                    </w:rPr>
                  </w:pPr>
                  <w:r>
                    <w:rPr>
                      <w:b/>
                      <w:snapToGrid w:val="0"/>
                      <w:color w:val="000000"/>
                      <w:sz w:val="22"/>
                      <w:szCs w:val="16"/>
                      <w:lang w:val="es-ES_tradnl"/>
                    </w:rPr>
                    <w:t>PORCENTAJE DE ATENCION  DEL PARTO EXTRAHOSPITALARIO, POR PARTERA</w:t>
                  </w:r>
                  <w:r>
                    <w:rPr>
                      <w:b/>
                      <w:snapToGrid w:val="0"/>
                      <w:color w:val="000000"/>
                      <w:sz w:val="22"/>
                      <w:szCs w:val="16"/>
                      <w:lang w:val="es-ES_tradnl"/>
                    </w:rPr>
                    <w:br/>
                    <w:t xml:space="preserve"> (MUJERES DE   15-49 AÑOS) SEGÚN LUGAR  DE VIVIENDA</w:t>
                  </w:r>
                </w:p>
                <w:p w:rsidR="00081A52" w:rsidRDefault="00081A52">
                  <w:pPr>
                    <w:jc w:val="center"/>
                    <w:rPr>
                      <w:sz w:val="22"/>
                      <w:szCs w:val="16"/>
                      <w:lang w:val="es-ES_tradnl"/>
                    </w:rPr>
                  </w:pPr>
                  <w:r>
                    <w:rPr>
                      <w:b/>
                      <w:bCs/>
                      <w:sz w:val="22"/>
                      <w:szCs w:val="16"/>
                      <w:lang w:val="es-ES_tradnl"/>
                    </w:rPr>
                    <w:t>1983</w:t>
                  </w:r>
                  <w:r>
                    <w:rPr>
                      <w:sz w:val="22"/>
                      <w:szCs w:val="16"/>
                      <w:lang w:val="es-ES_tradnl"/>
                    </w:rPr>
                    <w:t>-</w:t>
                  </w:r>
                  <w:r>
                    <w:rPr>
                      <w:b/>
                      <w:bCs/>
                      <w:sz w:val="22"/>
                      <w:szCs w:val="16"/>
                      <w:lang w:val="es-ES_tradnl"/>
                    </w:rPr>
                    <w:t>1998</w:t>
                  </w:r>
                  <w:r>
                    <w:rPr>
                      <w:sz w:val="22"/>
                      <w:szCs w:val="16"/>
                      <w:lang w:val="es-ES_tradnl"/>
                    </w:rPr>
                    <w:br/>
                  </w:r>
                </w:p>
              </w:txbxContent>
            </v:textbox>
          </v:rect>
        </w:pict>
      </w:r>
    </w:p>
    <w:p w:rsidR="00081A52" w:rsidRDefault="00342C74">
      <w:pPr>
        <w:pStyle w:val="Textoindependiente"/>
        <w:spacing w:line="360" w:lineRule="auto"/>
        <w:ind w:left="2832" w:firstLine="708"/>
        <w:jc w:val="both"/>
        <w:rPr>
          <w:rFonts w:ascii="Times New Roman" w:hAnsi="Times New Roman"/>
          <w:b/>
          <w:sz w:val="20"/>
        </w:rPr>
      </w:pPr>
      <w:r>
        <w:rPr>
          <w:rFonts w:ascii="Times New Roman" w:hAnsi="Times New Roman"/>
          <w:noProof/>
          <w:sz w:val="16"/>
          <w:lang w:val="es-ES"/>
        </w:rPr>
        <w:drawing>
          <wp:anchor distT="0" distB="0" distL="114300" distR="114300" simplePos="0" relativeHeight="251617280" behindDoc="0" locked="0" layoutInCell="1" allowOverlap="1">
            <wp:simplePos x="0" y="0"/>
            <wp:positionH relativeFrom="column">
              <wp:posOffset>-76200</wp:posOffset>
            </wp:positionH>
            <wp:positionV relativeFrom="paragraph">
              <wp:posOffset>355600</wp:posOffset>
            </wp:positionV>
            <wp:extent cx="5715000" cy="2215515"/>
            <wp:effectExtent l="0" t="3175" r="0" b="635"/>
            <wp:wrapTopAndBottom/>
            <wp:docPr id="19" name="Objeto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081A52" w:rsidRDefault="00081A52">
      <w:pPr>
        <w:pStyle w:val="Textoindependiente"/>
        <w:spacing w:line="360" w:lineRule="auto"/>
        <w:ind w:left="2832" w:firstLine="708"/>
        <w:jc w:val="right"/>
        <w:rPr>
          <w:rFonts w:ascii="Times New Roman" w:hAnsi="Times New Roman"/>
          <w:sz w:val="16"/>
        </w:rPr>
      </w:pPr>
      <w:r>
        <w:rPr>
          <w:rFonts w:ascii="Times New Roman" w:hAnsi="Times New Roman"/>
          <w:sz w:val="16"/>
        </w:rPr>
        <w:t xml:space="preserve"> Fuente: FESAL98</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b/>
          <w:sz w:val="24"/>
        </w:rPr>
      </w:pPr>
      <w:r>
        <w:rPr>
          <w:rFonts w:ascii="Times New Roman" w:hAnsi="Times New Roman"/>
          <w:sz w:val="24"/>
        </w:rPr>
        <w:t>En contraste con la gráfica anterior, la gráfica No. 6, muestra que la atención del parto extra hospitalario es mayor en las áreas rurales.</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El estudio profundiza más en el análisis de otras variables, incorporando también el análisis relacionado con el género, nivel de ingreso familiar y otros. Intentando proporcionar bases para sustentar el análisis y la toma de decisiones respecto a </w:t>
      </w:r>
      <w:smartTag w:uri="urn:schemas-microsoft-com:office:smarttags" w:element="PersonName">
        <w:smartTagPr>
          <w:attr w:name="ProductID" w:val="La Equidad"/>
        </w:smartTagPr>
        <w:r>
          <w:rPr>
            <w:rFonts w:ascii="Times New Roman" w:hAnsi="Times New Roman"/>
            <w:sz w:val="24"/>
          </w:rPr>
          <w:t>la Equidad</w:t>
        </w:r>
      </w:smartTag>
      <w:r>
        <w:rPr>
          <w:rFonts w:ascii="Times New Roman" w:hAnsi="Times New Roman"/>
          <w:sz w:val="24"/>
        </w:rPr>
        <w:t xml:space="preserve"> en la disponibilidad y utilización de los servicios de salud.</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En este sentido también se  desarrolla un esfuerzo metodológico por recoger indicadores claves, relacionarlos entre sí y mirarlos a la luz de algunas  variables de interés que permitan identificar  las condiciones de equidad que giran alrededor de la  disponibilidad y utilización de los servicios de salud  en El Salvador. De modo que este esfuerzo sea una herramienta de política de salud.</w:t>
      </w:r>
    </w:p>
    <w:p w:rsidR="00081A52" w:rsidRDefault="00081A52">
      <w:pPr>
        <w:pStyle w:val="Textoindependiente"/>
        <w:spacing w:line="360" w:lineRule="auto"/>
        <w:jc w:val="both"/>
        <w:rPr>
          <w:rFonts w:ascii="Times New Roman" w:hAnsi="Times New Roman"/>
          <w:sz w:val="24"/>
        </w:rPr>
      </w:pPr>
    </w:p>
    <w:p w:rsidR="00081A52" w:rsidRDefault="00081A52">
      <w:pPr>
        <w:pStyle w:val="Ttulo4"/>
        <w:spacing w:line="360" w:lineRule="auto"/>
        <w:jc w:val="center"/>
        <w:rPr>
          <w:rFonts w:ascii="Times New Roman" w:hAnsi="Times New Roman"/>
          <w:sz w:val="24"/>
        </w:rPr>
      </w:pPr>
    </w:p>
    <w:p w:rsidR="00081A52" w:rsidRDefault="00081A52">
      <w:pPr>
        <w:rPr>
          <w:lang w:val="es-ES"/>
        </w:rPr>
      </w:pPr>
    </w:p>
    <w:p w:rsidR="00081A52" w:rsidRDefault="00081A52">
      <w:pPr>
        <w:pStyle w:val="Ttulo4"/>
        <w:spacing w:line="360" w:lineRule="auto"/>
        <w:jc w:val="center"/>
        <w:rPr>
          <w:rFonts w:ascii="Times New Roman" w:hAnsi="Times New Roman"/>
        </w:rPr>
      </w:pPr>
      <w:r>
        <w:rPr>
          <w:rFonts w:ascii="Times New Roman" w:hAnsi="Times New Roman"/>
        </w:rPr>
        <w:br w:type="page"/>
      </w:r>
      <w:r>
        <w:rPr>
          <w:rFonts w:ascii="Times New Roman" w:hAnsi="Times New Roman"/>
        </w:rPr>
        <w:lastRenderedPageBreak/>
        <w:t>IV</w:t>
      </w:r>
      <w:r>
        <w:rPr>
          <w:rFonts w:ascii="Times New Roman" w:hAnsi="Times New Roman"/>
          <w:b w:val="0"/>
        </w:rPr>
        <w:t xml:space="preserve">. </w:t>
      </w:r>
      <w:r>
        <w:rPr>
          <w:rFonts w:ascii="Times New Roman" w:hAnsi="Times New Roman"/>
        </w:rPr>
        <w:t>OBJETIVOS</w:t>
      </w:r>
    </w:p>
    <w:p w:rsidR="00081A52" w:rsidRDefault="00081A52">
      <w:pPr>
        <w:pStyle w:val="Textoindependiente"/>
        <w:spacing w:line="360" w:lineRule="auto"/>
        <w:jc w:val="both"/>
        <w:outlineLvl w:val="0"/>
        <w:rPr>
          <w:rFonts w:ascii="Times New Roman" w:hAnsi="Times New Roman"/>
          <w:b/>
          <w:sz w:val="24"/>
        </w:rPr>
      </w:pPr>
    </w:p>
    <w:p w:rsidR="00081A52" w:rsidRDefault="00081A52">
      <w:pPr>
        <w:pStyle w:val="Textoindependiente"/>
        <w:spacing w:line="360" w:lineRule="auto"/>
        <w:jc w:val="both"/>
        <w:outlineLvl w:val="0"/>
        <w:rPr>
          <w:rFonts w:ascii="Times New Roman" w:hAnsi="Times New Roman"/>
          <w:b/>
          <w:sz w:val="24"/>
        </w:rPr>
      </w:pPr>
    </w:p>
    <w:p w:rsidR="00081A52" w:rsidRDefault="00081A52">
      <w:pPr>
        <w:pStyle w:val="Textoindependiente"/>
        <w:spacing w:line="360" w:lineRule="auto"/>
        <w:jc w:val="both"/>
        <w:outlineLvl w:val="0"/>
        <w:rPr>
          <w:rFonts w:ascii="Times New Roman" w:hAnsi="Times New Roman"/>
          <w:b/>
          <w:sz w:val="24"/>
        </w:rPr>
      </w:pPr>
      <w:r>
        <w:rPr>
          <w:rFonts w:ascii="Times New Roman" w:hAnsi="Times New Roman"/>
          <w:b/>
          <w:sz w:val="24"/>
        </w:rPr>
        <w:t>I.  OBJETIVO GENERAL:</w:t>
      </w:r>
    </w:p>
    <w:p w:rsidR="00081A52" w:rsidRDefault="00081A52">
      <w:pPr>
        <w:pStyle w:val="Textoindependiente"/>
        <w:spacing w:line="360" w:lineRule="auto"/>
        <w:jc w:val="both"/>
        <w:outlineLvl w:val="0"/>
        <w:rPr>
          <w:rFonts w:ascii="Times New Roman" w:hAnsi="Times New Roman"/>
          <w:b/>
          <w:sz w:val="24"/>
        </w:rPr>
      </w:pPr>
    </w:p>
    <w:p w:rsidR="00081A52" w:rsidRDefault="00081A52">
      <w:pPr>
        <w:pStyle w:val="Textoindependiente"/>
        <w:spacing w:line="360" w:lineRule="auto"/>
        <w:ind w:left="1413" w:hanging="1053"/>
        <w:jc w:val="both"/>
        <w:rPr>
          <w:rFonts w:ascii="Times New Roman" w:hAnsi="Times New Roman"/>
          <w:sz w:val="24"/>
        </w:rPr>
      </w:pPr>
      <w:r>
        <w:rPr>
          <w:rFonts w:ascii="Times New Roman" w:hAnsi="Times New Roman"/>
          <w:sz w:val="24"/>
        </w:rPr>
        <w:t>I.1</w:t>
      </w:r>
      <w:r>
        <w:rPr>
          <w:rFonts w:ascii="Times New Roman" w:hAnsi="Times New Roman"/>
          <w:sz w:val="24"/>
        </w:rPr>
        <w:tab/>
        <w:t>Desarrollar una metodología que permita conocer de forma oportuna, veraz y analítica las condiciones de Equidad relacionadas con la disponibilidad y utilización de los servicios de salud en El Salvador, en el  período febrero a Diciembre 2001.</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outlineLvl w:val="0"/>
        <w:rPr>
          <w:rFonts w:ascii="Times New Roman" w:hAnsi="Times New Roman"/>
          <w:b/>
          <w:sz w:val="24"/>
        </w:rPr>
      </w:pPr>
      <w:r>
        <w:rPr>
          <w:rFonts w:ascii="Times New Roman" w:hAnsi="Times New Roman"/>
          <w:b/>
          <w:sz w:val="24"/>
        </w:rPr>
        <w:t>II. OBJETIVOS ESPECIFICOS:</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ind w:left="1410" w:hanging="1050"/>
        <w:jc w:val="both"/>
        <w:rPr>
          <w:rFonts w:ascii="Times New Roman" w:hAnsi="Times New Roman"/>
          <w:sz w:val="24"/>
        </w:rPr>
      </w:pPr>
      <w:r>
        <w:rPr>
          <w:rFonts w:ascii="Times New Roman" w:hAnsi="Times New Roman"/>
          <w:sz w:val="24"/>
        </w:rPr>
        <w:t>II. 1</w:t>
      </w:r>
      <w:r>
        <w:rPr>
          <w:rFonts w:ascii="Times New Roman" w:hAnsi="Times New Roman"/>
          <w:sz w:val="24"/>
        </w:rPr>
        <w:tab/>
        <w:t>Caracterizar las condiciones de equidad en la disponibilidad de los servicios de salud ambulatorios y hospitalarios, en las principales instituciones del sector</w:t>
      </w:r>
      <w:r>
        <w:rPr>
          <w:rFonts w:ascii="Times New Roman" w:hAnsi="Times New Roman"/>
          <w:b/>
          <w:sz w:val="24"/>
        </w:rPr>
        <w:t xml:space="preserve">  </w:t>
      </w:r>
      <w:r>
        <w:rPr>
          <w:rFonts w:ascii="Times New Roman" w:hAnsi="Times New Roman"/>
          <w:sz w:val="24"/>
        </w:rPr>
        <w:t>salud.</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ind w:left="1410" w:hanging="1050"/>
        <w:jc w:val="both"/>
        <w:rPr>
          <w:rFonts w:ascii="Times New Roman" w:hAnsi="Times New Roman"/>
          <w:sz w:val="24"/>
        </w:rPr>
      </w:pPr>
      <w:r>
        <w:rPr>
          <w:rFonts w:ascii="Times New Roman" w:hAnsi="Times New Roman"/>
          <w:sz w:val="24"/>
        </w:rPr>
        <w:t>II.2</w:t>
      </w:r>
      <w:r>
        <w:rPr>
          <w:rFonts w:ascii="Times New Roman" w:hAnsi="Times New Roman"/>
          <w:sz w:val="24"/>
        </w:rPr>
        <w:tab/>
      </w:r>
      <w:r>
        <w:rPr>
          <w:rFonts w:ascii="Times New Roman" w:hAnsi="Times New Roman"/>
          <w:sz w:val="24"/>
        </w:rPr>
        <w:tab/>
        <w:t>Caracterizar  las condiciones de Equidad en  la utilización de los servicios de salud en El Salvador relacionadas con el  nivel de ingreso familiar, género y  procedencia de las usuarias y usuarios (urbano, rural).</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ind w:left="1410" w:hanging="1050"/>
        <w:jc w:val="both"/>
        <w:rPr>
          <w:rFonts w:ascii="Times New Roman" w:hAnsi="Times New Roman"/>
          <w:sz w:val="24"/>
        </w:rPr>
      </w:pPr>
      <w:r>
        <w:rPr>
          <w:rFonts w:ascii="Times New Roman" w:hAnsi="Times New Roman"/>
          <w:sz w:val="24"/>
        </w:rPr>
        <w:t>II.3</w:t>
      </w:r>
      <w:r>
        <w:rPr>
          <w:rFonts w:ascii="Times New Roman" w:hAnsi="Times New Roman"/>
          <w:sz w:val="24"/>
        </w:rPr>
        <w:tab/>
      </w:r>
      <w:r>
        <w:rPr>
          <w:rFonts w:ascii="Times New Roman" w:hAnsi="Times New Roman"/>
          <w:sz w:val="24"/>
        </w:rPr>
        <w:tab/>
        <w:t>Caracterizar las condiciones de Equidad relacionadas con  el gasto de bolsillo en salud que las familias realizan;  según nivel de ingreso, procedencia Urbana y Rural y Género.</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numPr>
          <w:ilvl w:val="0"/>
          <w:numId w:val="16"/>
        </w:numPr>
        <w:spacing w:line="360" w:lineRule="auto"/>
        <w:rPr>
          <w:rFonts w:ascii="Times New Roman" w:hAnsi="Times New Roman"/>
          <w:b/>
        </w:rPr>
      </w:pPr>
      <w:r>
        <w:rPr>
          <w:rFonts w:ascii="Times New Roman" w:hAnsi="Times New Roman"/>
          <w:b/>
          <w:sz w:val="24"/>
        </w:rPr>
        <w:br w:type="page"/>
      </w:r>
      <w:r>
        <w:rPr>
          <w:rFonts w:ascii="Times New Roman" w:hAnsi="Times New Roman"/>
          <w:b/>
        </w:rPr>
        <w:lastRenderedPageBreak/>
        <w:t>MARCO TEORICO DE REFERENCIA</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color w:val="000000"/>
          <w:sz w:val="24"/>
        </w:rPr>
      </w:pPr>
      <w:r>
        <w:rPr>
          <w:rFonts w:ascii="Times New Roman" w:hAnsi="Times New Roman"/>
          <w:sz w:val="24"/>
        </w:rPr>
        <w:t xml:space="preserve">Todas las constituciones latinoamericanas proclaman el derecho a la salud para todos los habitantes, por lo que  parecería que esta, es una meta fundamental  para cualquier sociedad democrática, también se puede considerar que la salud es un pilar fundamental de la productividad, la competitividad y del desarrollo y parece haberse logrado un consenso al respecto, sin embargo existen  en América Latina graves problemas de inequidad en salud, ya que si bien han habido avances muy positivos, existen grandes brechas en aspectos básicos para la salud que se manifiestan en tasas de mortalidad infantil, mortalidad materna, Esperanza de vida, entre los diferentes países y al interior de cada uno de ellos, </w:t>
      </w:r>
      <w:r>
        <w:rPr>
          <w:rFonts w:ascii="Times New Roman" w:hAnsi="Times New Roman"/>
          <w:color w:val="000000"/>
          <w:sz w:val="24"/>
        </w:rPr>
        <w:t xml:space="preserve">como lo sostiene en el último informe sobre Desarrollo Humano, El Salvador 2001.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Las diferencias en los indicadores de salud podrían estar relacionadas con la disponibilidad y acceso a los servicios de salud como la cobertura de la seguridad social, que en  muchos de los países es baja, de igual manera la cobertura de parto institucional o por personal capacitado; también con factores externos a los sistemas de salud, como la disponibilidad de agua potable, electricidad, Educación y otros factores determinantes para una buena salud, que están fuera del sistema de salud.</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La inequidad en el campo de la salud se expresa como una desigualdad en el derecho a la vida, muchas muertes infantiles son evitables a bajo costo y están relacionadas con carencias nutricionales, las que en caso de sobre vivencia dejan secuelas físicas y mentales marcadas. Además, desde el punto de vista ético todo ciudadano  merece un mínimo de atención sanitaria y médica  al menos en los primeros años de vida, como requisito ineludible de </w:t>
      </w:r>
      <w:smartTag w:uri="urn:schemas-microsoft-com:office:smarttags" w:element="PersonName">
        <w:smartTagPr>
          <w:attr w:name="ProductID" w:val="La Equidad"/>
        </w:smartTagPr>
        <w:r>
          <w:rPr>
            <w:rFonts w:ascii="Times New Roman" w:hAnsi="Times New Roman"/>
            <w:sz w:val="24"/>
          </w:rPr>
          <w:t>la Equidad</w:t>
        </w:r>
      </w:smartTag>
      <w:r>
        <w:rPr>
          <w:rFonts w:ascii="Times New Roman" w:hAnsi="Times New Roman"/>
          <w:sz w:val="24"/>
        </w:rPr>
        <w:t xml:space="preserve"> que se persigue, sustentada en los diferentes compromisos internacionales suscritos por nuestro país a lo largo de la historia </w:t>
      </w:r>
      <w:r>
        <w:rPr>
          <w:rFonts w:ascii="Times New Roman" w:hAnsi="Times New Roman"/>
          <w:color w:val="000000"/>
          <w:sz w:val="24"/>
        </w:rPr>
        <w:t xml:space="preserve">dentro de lo que podemos citar desde 1978 La conferencia de Alma Ata que establece los principios de </w:t>
      </w:r>
      <w:smartTag w:uri="urn:schemas-microsoft-com:office:smarttags" w:element="PersonName">
        <w:smartTagPr>
          <w:attr w:name="ProductID" w:val="la Atención Primaria"/>
        </w:smartTagPr>
        <w:r>
          <w:rPr>
            <w:rFonts w:ascii="Times New Roman" w:hAnsi="Times New Roman"/>
            <w:color w:val="000000"/>
            <w:sz w:val="24"/>
          </w:rPr>
          <w:t>la Atención Primaria</w:t>
        </w:r>
      </w:smartTag>
      <w:r>
        <w:rPr>
          <w:rFonts w:ascii="Times New Roman" w:hAnsi="Times New Roman"/>
          <w:color w:val="000000"/>
          <w:sz w:val="24"/>
        </w:rPr>
        <w:t xml:space="preserve"> de Salud  y declara la  meta de Salud para todos en el año 2000, hasta las más recientes como </w:t>
      </w:r>
      <w:smartTag w:uri="urn:schemas-microsoft-com:office:smarttags" w:element="PersonName">
        <w:smartTagPr>
          <w:attr w:name="ProductID" w:val="la Declaratoria Mundial"/>
        </w:smartTagPr>
        <w:r>
          <w:rPr>
            <w:rFonts w:ascii="Times New Roman" w:hAnsi="Times New Roman"/>
            <w:color w:val="000000"/>
            <w:sz w:val="24"/>
          </w:rPr>
          <w:t>la Declaratoria Mundial</w:t>
        </w:r>
      </w:smartTag>
      <w:r>
        <w:rPr>
          <w:rFonts w:ascii="Times New Roman" w:hAnsi="Times New Roman"/>
          <w:color w:val="000000"/>
          <w:sz w:val="24"/>
        </w:rPr>
        <w:t xml:space="preserve"> de Promoción de la salud celebrada en México en el año 2000, hasta los más recientes como </w:t>
      </w:r>
      <w:smartTag w:uri="urn:schemas-microsoft-com:office:smarttags" w:element="PersonName">
        <w:smartTagPr>
          <w:attr w:name="ProductID" w:val="la Declaratoria Mundial"/>
        </w:smartTagPr>
        <w:r>
          <w:rPr>
            <w:rFonts w:ascii="Times New Roman" w:hAnsi="Times New Roman"/>
            <w:color w:val="000000"/>
            <w:sz w:val="24"/>
          </w:rPr>
          <w:t>la Declaratoria Mundial</w:t>
        </w:r>
      </w:smartTag>
      <w:r>
        <w:rPr>
          <w:rFonts w:ascii="Times New Roman" w:hAnsi="Times New Roman"/>
          <w:color w:val="000000"/>
          <w:sz w:val="24"/>
        </w:rPr>
        <w:t xml:space="preserve"> de Promoción de </w:t>
      </w:r>
      <w:smartTag w:uri="urn:schemas-microsoft-com:office:smarttags" w:element="PersonName">
        <w:smartTagPr>
          <w:attr w:name="ProductID" w:val="la Salud"/>
        </w:smartTagPr>
        <w:r>
          <w:rPr>
            <w:rFonts w:ascii="Times New Roman" w:hAnsi="Times New Roman"/>
            <w:color w:val="000000"/>
            <w:sz w:val="24"/>
          </w:rPr>
          <w:t>la Salud</w:t>
        </w:r>
      </w:smartTag>
      <w:r>
        <w:rPr>
          <w:rFonts w:ascii="Times New Roman" w:hAnsi="Times New Roman"/>
          <w:color w:val="000000"/>
          <w:sz w:val="24"/>
        </w:rPr>
        <w:t xml:space="preserve"> celebrada en México en el año 2000. Es importante valorar que es responsabilidad </w:t>
      </w:r>
      <w:r>
        <w:rPr>
          <w:rFonts w:ascii="Times New Roman" w:hAnsi="Times New Roman"/>
          <w:color w:val="000000"/>
          <w:sz w:val="24"/>
        </w:rPr>
        <w:lastRenderedPageBreak/>
        <w:t>del</w:t>
      </w:r>
      <w:r>
        <w:rPr>
          <w:rFonts w:ascii="Times New Roman" w:hAnsi="Times New Roman"/>
          <w:sz w:val="24"/>
        </w:rPr>
        <w:t xml:space="preserve"> estado procurarlo como parte de sus funciones, por lo que las políticas de combate a la pobreza y desarrollo Social deben abarcar prioritariamente  salud, nutrición y saneamiento Básico. </w:t>
      </w: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 </w:t>
      </w:r>
    </w:p>
    <w:p w:rsidR="00081A52" w:rsidRDefault="00081A52">
      <w:pPr>
        <w:pStyle w:val="Textoindependiente"/>
        <w:spacing w:line="360" w:lineRule="auto"/>
        <w:jc w:val="both"/>
        <w:rPr>
          <w:rFonts w:ascii="Times New Roman" w:hAnsi="Times New Roman"/>
          <w:color w:val="FF0000"/>
          <w:sz w:val="24"/>
        </w:rPr>
      </w:pPr>
      <w:r>
        <w:rPr>
          <w:rFonts w:ascii="Times New Roman" w:hAnsi="Times New Roman"/>
          <w:sz w:val="24"/>
        </w:rPr>
        <w:t xml:space="preserve">Una serie de estudios recientes de los que fue pionera </w:t>
      </w:r>
      <w:smartTag w:uri="urn:schemas-microsoft-com:office:smarttags" w:element="PersonName">
        <w:smartTagPr>
          <w:attr w:name="ProductID" w:val="la Escuela"/>
        </w:smartTagPr>
        <w:r>
          <w:rPr>
            <w:rFonts w:ascii="Times New Roman" w:hAnsi="Times New Roman"/>
            <w:sz w:val="24"/>
          </w:rPr>
          <w:t>la Escuela</w:t>
        </w:r>
      </w:smartTag>
      <w:r>
        <w:rPr>
          <w:rFonts w:ascii="Times New Roman" w:hAnsi="Times New Roman"/>
          <w:sz w:val="24"/>
        </w:rPr>
        <w:t xml:space="preserve"> de Salud Pública de Harvard, han agregado otras dimensiones. Han logrado detectar que en la salud pública influye profundamente lo que sucede en un país en materia de Capital Social y Equidad. El grado de Equidad influye sobre él, cuanto más desigual es una sociedad más débil es su capital social. Se erosiona la confianza de unos a otros, crece el individualismo y se debilita la participación en asociaciones. Estos factores inciden fuertemente en el Desarrollo Humano, las sociedades más equitativas y con más capital social conforman un ambiente más saludable.</w:t>
      </w:r>
      <w:r>
        <w:rPr>
          <w:rStyle w:val="Refdenotaalpie"/>
          <w:rFonts w:ascii="Times New Roman" w:hAnsi="Times New Roman"/>
          <w:sz w:val="24"/>
        </w:rPr>
        <w:footnoteReference w:id="1"/>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América Latina es considerada la región con más desigualdades del globo terráqueo, superar las inequidades en salud significará, al mismo tiempo, asegurar a todas las familias cobertura de salud, nutrición, agua segura, instalaciones sanitarias, electricidad, educación y otros factores, así como también se considera que se debe mejorar </w:t>
      </w:r>
      <w:smartTag w:uri="urn:schemas-microsoft-com:office:smarttags" w:element="PersonName">
        <w:smartTagPr>
          <w:attr w:name="ProductID" w:val="La Equidad"/>
        </w:smartTagPr>
        <w:r>
          <w:rPr>
            <w:rFonts w:ascii="Times New Roman" w:hAnsi="Times New Roman"/>
            <w:sz w:val="24"/>
          </w:rPr>
          <w:t>la Equidad</w:t>
        </w:r>
      </w:smartTag>
      <w:r>
        <w:rPr>
          <w:rFonts w:ascii="Times New Roman" w:hAnsi="Times New Roman"/>
          <w:sz w:val="24"/>
        </w:rPr>
        <w:t xml:space="preserve"> y fortalecer el capital social, si se quiere hacer realidad los mandatos constitucionales, los compromisos Internacionales  y construir una sociedad armónica y saludable.</w:t>
      </w:r>
      <w:r>
        <w:rPr>
          <w:rFonts w:ascii="Times New Roman" w:hAnsi="Times New Roman"/>
          <w:sz w:val="16"/>
          <w:szCs w:val="16"/>
        </w:rPr>
        <w:t>1</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Es de valiosa importancia describir brevemente algunos elementos alrededor de </w:t>
      </w:r>
      <w:smartTag w:uri="urn:schemas-microsoft-com:office:smarttags" w:element="PersonName">
        <w:smartTagPr>
          <w:attr w:name="ProductID" w:val="La Equidad"/>
        </w:smartTagPr>
        <w:r>
          <w:rPr>
            <w:rFonts w:ascii="Times New Roman" w:hAnsi="Times New Roman"/>
            <w:sz w:val="24"/>
          </w:rPr>
          <w:t>la Equidad</w:t>
        </w:r>
      </w:smartTag>
      <w:r>
        <w:rPr>
          <w:rFonts w:ascii="Times New Roman" w:hAnsi="Times New Roman"/>
          <w:sz w:val="24"/>
        </w:rPr>
        <w:t xml:space="preserve">; un primer paso para conocer la condición de Equidad lo constituyen las mediciones de indicadores que permitan identificar situaciones como las desigualdades en la esperanza de vida al nacer en una u otra comunidad del país o la diferencia en la mortalidad infantil entre dos comunidades del mismo país. Pero hay otros indicadores, dentro y fuera del ámbito de salud, cuyo conjunto nos permite dimensionar y caracterizar el problema para la búsqueda de soluciones, podemos establecer las relaciones entre el nivel de salud de una comunidad y la educación de las personas que la integran, el medio ambiente en el cual viven, su desarrollo económico u otros, pesquisando las brechas de equidad que allí se producen. </w:t>
      </w:r>
      <w:r>
        <w:rPr>
          <w:rFonts w:ascii="Times New Roman" w:hAnsi="Times New Roman"/>
          <w:sz w:val="24"/>
        </w:rPr>
        <w:lastRenderedPageBreak/>
        <w:t>Este producto de factores, condiciones y elementos los llamaremos determinantes de la salud. Pero no basta con identificar esa relación, un segundo paso consiste en dar a conocer esta información a los tomadores de decisiones y a la opinión publica para diseñar  políticas publicas que apunten a la reducción de estas brechas, lo cual implicará un espectro amplio en las acciones del gobierno y de la sociedad, tanto en el nivel político, niveles operativos, sistemas de salud, acceso, disponibilidad, mecanismos de financiamiento y otros de acuerdo a lo que los resultados indiquen.</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b/>
          <w:sz w:val="24"/>
        </w:rPr>
      </w:pPr>
      <w:r>
        <w:rPr>
          <w:rFonts w:ascii="Times New Roman" w:hAnsi="Times New Roman"/>
          <w:sz w:val="24"/>
        </w:rPr>
        <w:t xml:space="preserve">La puesta en marcha de mecanismos de vigilancia y monitoreo de las  condiciones de Equidad o Inequidad y la evaluación dinámica de las estrategias de intervención con la participación de la sociedad en general, permitirá conocer el impacto alcanzado y las necesarias adaptaciones. Así, avanzaremos en crear las oportunidades para mejorar la salud de la población y </w:t>
      </w:r>
      <w:r>
        <w:rPr>
          <w:rFonts w:ascii="Times New Roman" w:hAnsi="Times New Roman"/>
          <w:b/>
          <w:sz w:val="24"/>
        </w:rPr>
        <w:t>reducir al mínimo las diferencias</w:t>
      </w:r>
      <w:r>
        <w:rPr>
          <w:rFonts w:ascii="Times New Roman" w:hAnsi="Times New Roman"/>
          <w:sz w:val="24"/>
        </w:rPr>
        <w:t xml:space="preserve"> </w:t>
      </w:r>
      <w:r>
        <w:rPr>
          <w:rFonts w:ascii="Times New Roman" w:hAnsi="Times New Roman"/>
          <w:b/>
          <w:sz w:val="24"/>
        </w:rPr>
        <w:t>injustas, innecesarias y evitables.</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color w:val="FF0000"/>
          <w:sz w:val="24"/>
        </w:rPr>
      </w:pPr>
      <w:r>
        <w:rPr>
          <w:rFonts w:ascii="Times New Roman" w:hAnsi="Times New Roman"/>
          <w:sz w:val="24"/>
        </w:rPr>
        <w:t xml:space="preserve"> El  análisis de  </w:t>
      </w:r>
      <w:smartTag w:uri="urn:schemas-microsoft-com:office:smarttags" w:element="PersonName">
        <w:smartTagPr>
          <w:attr w:name="ProductID" w:val="La Equidad"/>
        </w:smartTagPr>
        <w:r>
          <w:rPr>
            <w:rFonts w:ascii="Times New Roman" w:hAnsi="Times New Roman"/>
            <w:sz w:val="24"/>
          </w:rPr>
          <w:t>la Equidad</w:t>
        </w:r>
      </w:smartTag>
      <w:r>
        <w:rPr>
          <w:rFonts w:ascii="Times New Roman" w:hAnsi="Times New Roman"/>
          <w:sz w:val="24"/>
        </w:rPr>
        <w:t xml:space="preserve"> en la prestación de los servicios de salud, implica  revisar al menos tres definiciones de  Equidad en la asistencia sanitaria; “Igual tratamiento para igual necesidad”, “Igualdad de acceso  e igualdad de salud“ </w:t>
      </w:r>
      <w:r>
        <w:rPr>
          <w:rStyle w:val="Refdenotaalpie"/>
          <w:rFonts w:ascii="Times New Roman" w:hAnsi="Times New Roman"/>
          <w:sz w:val="24"/>
        </w:rPr>
        <w:footnoteReference w:id="2"/>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El criterio de Igualdad de tratamiento para igual necesidad significa que las personas con igual necesidad de atención sanitaria reciben el mismo tratamiento independientemente de cualquier característica personal que no tenga que ver con la necesidad entre ellos se pueden mencionar capacidad de pago, sexo, edad, Lugar de residencia y factores de riesgo.</w:t>
      </w: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El problema con la aplicación de este criterio estriba en la  dificultad de la definición de necesidad y tratamiento.</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La igualdad de acceso debería interpretarse como la igualación de los costes en que han de incurrir los pacientes para obtener la atención medica con una determinada calidad,</w:t>
      </w:r>
      <w:r>
        <w:rPr>
          <w:rStyle w:val="Refdenotaalpie"/>
          <w:rFonts w:ascii="Times New Roman" w:hAnsi="Times New Roman"/>
          <w:sz w:val="24"/>
        </w:rPr>
        <w:footnoteReference w:id="3"/>
      </w:r>
      <w:r>
        <w:rPr>
          <w:rFonts w:ascii="Times New Roman" w:hAnsi="Times New Roman"/>
          <w:sz w:val="24"/>
        </w:rPr>
        <w:t xml:space="preserve"> según esta definición se considera como costos de acceso: Los precios de los servicios, costos de transporte y costos de tiempo. El criterio de igualdad de Salud  resulta aun más </w:t>
      </w:r>
      <w:r>
        <w:rPr>
          <w:rFonts w:ascii="Times New Roman" w:hAnsi="Times New Roman"/>
          <w:sz w:val="24"/>
        </w:rPr>
        <w:lastRenderedPageBreak/>
        <w:t>problemático, debido a la influencia que en salud tienen otros factores como la educación, el ingreso, sobre los cuales no se tiene influencia desde los servicios de salud.</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La aplicación de cualquiera de estas definiciones resulta difícil en la practica, por un lado el acceso al tratamiento es un fenómeno  de la oferta, mientras que el tratamiento que finalmente se recibe en un fenómeno de la interacción entre oferta y demanda, esto significa que el tratamiento que el paciente recibe no depende solamente de los costos de acceso, sino también de la percepción de los pacientes sobre los beneficios de la asistencia sanitaria. Por otro lado la salud de las personas  no solo depende  del acceso a los servicios o al tratamiento, sino que también inciden otros factores determinantes.</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color w:val="FF0000"/>
          <w:sz w:val="24"/>
        </w:rPr>
      </w:pPr>
      <w:r>
        <w:rPr>
          <w:rFonts w:ascii="Times New Roman" w:hAnsi="Times New Roman"/>
          <w:sz w:val="24"/>
        </w:rPr>
        <w:t>El  fin último del proceso de desarrollo es mejorar las condiciones de vida o de bienestar las cuales dependen de una gran cantidad de factores. El Bienestar tiene múltiples factores que no son estáticos en el tiempo; el primer problema es como medir el bienestar, significa entonces que necesitamos seleccionar un grupo de indicadores que nos permita captar la evolución de las condiciones de vida  de la población y hacer comparaciones entre distintos grupos sociales caracterizados por su nivel de ingreso económico, genero, procedencia entre otros.</w:t>
      </w:r>
      <w:r>
        <w:rPr>
          <w:rStyle w:val="Refdenotaalpie"/>
          <w:rFonts w:ascii="Times New Roman" w:hAnsi="Times New Roman"/>
          <w:sz w:val="24"/>
        </w:rPr>
        <w:footnoteReference w:id="4"/>
      </w:r>
      <w:r>
        <w:rPr>
          <w:rFonts w:ascii="Times New Roman" w:hAnsi="Times New Roman"/>
          <w:sz w:val="24"/>
        </w:rPr>
        <w:t xml:space="preserve">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El grado de Equidad se  determina  comparando las distribuciones de Enfermedad  y Gasto  por deciles de ingreso, a través de la curva de concentración de enfermedad y la curva de concentración del gasto respectivamente. Existe una variedad importante de medidas resumen para la magnitud de las desigualdades en  salud, un indicador específico es el coeficiente de GINI, que junto con el coeficiente de concentración o distribución han sido tomados del área de economía  y aplicados a estudios de desigualdades en salud.</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El Coeficiente de Gini se basa en la curva de Lorens, que es una curva  de frecuencia acumulada que compara la distribución empírica  de una variable con la distribución uniforme  de igualdad. Esta distribución uniforme esta representada por una línea diagonal. </w:t>
      </w:r>
      <w:r>
        <w:rPr>
          <w:rFonts w:ascii="Times New Roman" w:hAnsi="Times New Roman"/>
          <w:sz w:val="24"/>
        </w:rPr>
        <w:lastRenderedPageBreak/>
        <w:t xml:space="preserve">Cuanto mayor es la distancia, o más propiamente, el área comprendida entre la curva de Lorens y esta diagonal, mayor es la desigualdad. El Coeficiente de Gini  representa dos veces el área entre la curva de Lorens y </w:t>
      </w:r>
      <w:smartTag w:uri="urn:schemas-microsoft-com:office:smarttags" w:element="PersonName">
        <w:smartTagPr>
          <w:attr w:name="ProductID" w:val="la Diagonal"/>
        </w:smartTagPr>
        <w:r>
          <w:rPr>
            <w:rFonts w:ascii="Times New Roman" w:hAnsi="Times New Roman"/>
            <w:sz w:val="24"/>
          </w:rPr>
          <w:t>la Diagonal</w:t>
        </w:r>
      </w:smartTag>
      <w:r>
        <w:rPr>
          <w:rFonts w:ascii="Times New Roman" w:hAnsi="Times New Roman"/>
          <w:sz w:val="24"/>
        </w:rPr>
        <w:t xml:space="preserve"> y toma valores entre cero (igualdad) y uno (desigualdad total)</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Para fines del presente estudio se ha  realizado:</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a) Análisis de  la oferta tanto  de los servicios del Ministerio de Salud  como también los del Instituto Salvadoreño del Seguro Social en todo el país, logrando construir el índice de distribución de </w:t>
      </w:r>
      <w:smartTag w:uri="urn:schemas-microsoft-com:office:smarttags" w:element="PersonName">
        <w:smartTagPr>
          <w:attr w:name="ProductID" w:val="la Oferta"/>
        </w:smartTagPr>
        <w:r>
          <w:rPr>
            <w:rFonts w:ascii="Times New Roman" w:hAnsi="Times New Roman"/>
            <w:sz w:val="24"/>
          </w:rPr>
          <w:t>la Oferta</w:t>
        </w:r>
      </w:smartTag>
      <w:r>
        <w:rPr>
          <w:rFonts w:ascii="Times New Roman" w:hAnsi="Times New Roman"/>
          <w:sz w:val="24"/>
        </w:rPr>
        <w:t xml:space="preserve"> para servicios ambulatorios como también para servicios Hospitalarios,  graficándolos en  la curva de Lorens y calculando el GINI de </w:t>
      </w:r>
      <w:smartTag w:uri="urn:schemas-microsoft-com:office:smarttags" w:element="PersonName">
        <w:smartTagPr>
          <w:attr w:name="ProductID" w:val="la Oferta"/>
        </w:smartTagPr>
        <w:r>
          <w:rPr>
            <w:rFonts w:ascii="Times New Roman" w:hAnsi="Times New Roman"/>
            <w:sz w:val="24"/>
          </w:rPr>
          <w:t>la Oferta</w:t>
        </w:r>
      </w:smartTag>
      <w:r>
        <w:rPr>
          <w:rFonts w:ascii="Times New Roman" w:hAnsi="Times New Roman"/>
          <w:sz w:val="24"/>
        </w:rPr>
        <w:t xml:space="preserve"> de servicios Ambulatorios y Hospitalarios.</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b) Se han definido y utilizado algunos indicadores de  disponibilidad de los servicios de salud tales como: el índice de distribución de la oferta de servicios de salud por institución, Ministerio de Salud y el Instituto Salvadoreño del Seguro Social, ambulatorio y hospitalario.</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c) Análisis de la utilización y gasto en salud, para lo cual se han construido coeficientes de desigualdad del gasto en salud y de la desigualdad en la utilización de los servicios de salud, entre otros, esto con el propósito de realizar un análisis más profundo de las condiciones de Equidad en la disponibilidad y utilización de los servicios de salud en El Salvador, a partir de variables como la procedencia urbano y rural, genero Femenino  y  masculino y  el nivel de ingreso familiar según deciles clasificados por la encuesta de hogares de propósitos múltiples. </w:t>
      </w:r>
      <w:r>
        <w:rPr>
          <w:rFonts w:ascii="Times New Roman" w:hAnsi="Times New Roman"/>
          <w:sz w:val="24"/>
        </w:rPr>
        <w:tab/>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Con estos indicadores se pretende dar respuesta a las siguientes interrogantes de investigación:</w:t>
      </w:r>
    </w:p>
    <w:p w:rsidR="00081A52" w:rsidRDefault="00081A52">
      <w:pPr>
        <w:pStyle w:val="Textoindependiente"/>
        <w:numPr>
          <w:ilvl w:val="0"/>
          <w:numId w:val="9"/>
        </w:numPr>
        <w:spacing w:line="360" w:lineRule="auto"/>
        <w:jc w:val="both"/>
        <w:rPr>
          <w:rFonts w:ascii="Times New Roman" w:hAnsi="Times New Roman"/>
          <w:sz w:val="24"/>
        </w:rPr>
      </w:pPr>
      <w:r>
        <w:rPr>
          <w:rFonts w:ascii="Times New Roman" w:hAnsi="Times New Roman"/>
          <w:sz w:val="24"/>
        </w:rPr>
        <w:t>¿Existe equidad en la disponibilidad de los servicios de salud ambulatorios y Hospitalarios en El Salvador?</w:t>
      </w:r>
    </w:p>
    <w:p w:rsidR="00081A52" w:rsidRDefault="00081A52">
      <w:pPr>
        <w:pStyle w:val="Textoindependiente"/>
        <w:numPr>
          <w:ilvl w:val="0"/>
          <w:numId w:val="9"/>
        </w:numPr>
        <w:spacing w:line="360" w:lineRule="auto"/>
        <w:jc w:val="both"/>
        <w:rPr>
          <w:rFonts w:ascii="Times New Roman" w:hAnsi="Times New Roman"/>
          <w:sz w:val="24"/>
        </w:rPr>
      </w:pPr>
      <w:r>
        <w:rPr>
          <w:rFonts w:ascii="Times New Roman" w:hAnsi="Times New Roman"/>
          <w:sz w:val="24"/>
        </w:rPr>
        <w:lastRenderedPageBreak/>
        <w:t>¿Es equitativa la utilización de los servicios de salud, según el nivel de ingreso, género y la procedencia (urbana y rural) de las usuarias y usuarios, en todo el país?</w:t>
      </w:r>
    </w:p>
    <w:p w:rsidR="00081A52" w:rsidRDefault="00081A52">
      <w:pPr>
        <w:pStyle w:val="Textoindependiente"/>
        <w:numPr>
          <w:ilvl w:val="0"/>
          <w:numId w:val="9"/>
        </w:numPr>
        <w:spacing w:line="360" w:lineRule="auto"/>
        <w:jc w:val="both"/>
        <w:rPr>
          <w:rFonts w:ascii="Times New Roman" w:hAnsi="Times New Roman"/>
          <w:b/>
          <w:sz w:val="24"/>
        </w:rPr>
      </w:pPr>
      <w:r>
        <w:rPr>
          <w:rFonts w:ascii="Times New Roman" w:hAnsi="Times New Roman"/>
          <w:sz w:val="24"/>
        </w:rPr>
        <w:t>¿La utilización de los servicios de salud es equitativa en cada uno de los subsectores del sistema de salud?</w:t>
      </w:r>
    </w:p>
    <w:p w:rsidR="00081A52" w:rsidRDefault="00081A52">
      <w:pPr>
        <w:pStyle w:val="Textoindependiente"/>
        <w:numPr>
          <w:ilvl w:val="0"/>
          <w:numId w:val="9"/>
        </w:numPr>
        <w:spacing w:line="360" w:lineRule="auto"/>
        <w:jc w:val="both"/>
        <w:rPr>
          <w:rFonts w:ascii="Times New Roman" w:hAnsi="Times New Roman"/>
          <w:b/>
          <w:sz w:val="24"/>
        </w:rPr>
      </w:pPr>
      <w:r>
        <w:rPr>
          <w:rFonts w:ascii="Times New Roman" w:hAnsi="Times New Roman"/>
          <w:sz w:val="24"/>
        </w:rPr>
        <w:t>¿Es equitativo el gasto en salud  que realizan las familias con relación al nivel de ingreso, procedencia Urbana y Rural?</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b/>
          <w:sz w:val="24"/>
        </w:rPr>
      </w:pPr>
      <w:r>
        <w:rPr>
          <w:rFonts w:ascii="Times New Roman" w:hAnsi="Times New Roman"/>
          <w:sz w:val="24"/>
        </w:rPr>
        <w:t>Se pretende que los indicadores construidos respondan estas interrogantes, sean un motivo de reflexión y crítica, pero sobre todo que impulsen a la toma de decisiones.</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numPr>
          <w:ilvl w:val="0"/>
          <w:numId w:val="13"/>
        </w:numPr>
        <w:spacing w:line="360" w:lineRule="auto"/>
        <w:rPr>
          <w:rFonts w:ascii="Times New Roman" w:hAnsi="Times New Roman"/>
          <w:b/>
        </w:rPr>
      </w:pPr>
      <w:r>
        <w:rPr>
          <w:rFonts w:ascii="Times New Roman" w:hAnsi="Times New Roman"/>
          <w:b/>
          <w:sz w:val="24"/>
        </w:rPr>
        <w:br w:type="page"/>
      </w:r>
      <w:r>
        <w:rPr>
          <w:rFonts w:ascii="Times New Roman" w:hAnsi="Times New Roman"/>
          <w:b/>
        </w:rPr>
        <w:lastRenderedPageBreak/>
        <w:t>METODOLOGÍA</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El presente es un </w:t>
      </w:r>
      <w:r>
        <w:rPr>
          <w:rFonts w:ascii="Times New Roman" w:hAnsi="Times New Roman"/>
          <w:b/>
          <w:sz w:val="24"/>
        </w:rPr>
        <w:t>estudio descriptivo</w:t>
      </w:r>
      <w:r>
        <w:rPr>
          <w:rFonts w:ascii="Times New Roman" w:hAnsi="Times New Roman"/>
          <w:sz w:val="24"/>
        </w:rPr>
        <w:t>, dado que no se pretende establecer una relación causa efecto, sino, más bien obtener información de las variables en estudio en un periodo determinado  y se pueda caracterizar el  comportamiento de las variables seleccionadas relacionadas con la disponibilidad y utilización de los servicios de salud, es decir que en este caso se esta identificando y definiendo si existe problema de equidad en la disponibilidad  y utilización de los servicios de salud del MSPAS E ISSS en El Salvador.</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Por su orientación en el tiempo es </w:t>
      </w:r>
      <w:r>
        <w:rPr>
          <w:rFonts w:ascii="Times New Roman" w:hAnsi="Times New Roman"/>
          <w:b/>
          <w:sz w:val="24"/>
        </w:rPr>
        <w:t>Transversal,</w:t>
      </w:r>
      <w:r>
        <w:rPr>
          <w:rFonts w:ascii="Times New Roman" w:hAnsi="Times New Roman"/>
          <w:sz w:val="24"/>
        </w:rPr>
        <w:t xml:space="preserve"> dado que se realizo en el periodo comprendido del 1 de febrero al 31 de diciembre del 2001. Y de </w:t>
      </w:r>
      <w:r>
        <w:rPr>
          <w:rFonts w:ascii="Times New Roman" w:hAnsi="Times New Roman"/>
          <w:b/>
          <w:sz w:val="24"/>
        </w:rPr>
        <w:t xml:space="preserve"> análisis documental</w:t>
      </w:r>
      <w:r>
        <w:rPr>
          <w:rFonts w:ascii="Times New Roman" w:hAnsi="Times New Roman"/>
          <w:sz w:val="24"/>
        </w:rPr>
        <w:t xml:space="preserve">; porque muestra información  basada en algunas variables de </w:t>
      </w:r>
      <w:smartTag w:uri="urn:schemas-microsoft-com:office:smarttags" w:element="PersonName">
        <w:smartTagPr>
          <w:attr w:name="ProductID" w:val="la Encuesta"/>
        </w:smartTagPr>
        <w:r>
          <w:rPr>
            <w:rFonts w:ascii="Times New Roman" w:hAnsi="Times New Roman"/>
            <w:sz w:val="24"/>
          </w:rPr>
          <w:t>la Encuesta</w:t>
        </w:r>
      </w:smartTag>
      <w:r>
        <w:rPr>
          <w:rFonts w:ascii="Times New Roman" w:hAnsi="Times New Roman"/>
          <w:sz w:val="24"/>
        </w:rPr>
        <w:t xml:space="preserve"> de Hogares de propósitos múltiples examinando características y comportamientos documentados en dicha encuesta. Con todo esto se pretende aportar conocimiento nuevo sobre las condiciones de Equidad en la disponibilidad y utilización de los servicios de salud en las principales instituciones proveedoras de El Salvador, en el 2001.</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numPr>
          <w:ilvl w:val="0"/>
          <w:numId w:val="17"/>
        </w:numPr>
        <w:tabs>
          <w:tab w:val="clear" w:pos="720"/>
          <w:tab w:val="num" w:pos="480"/>
        </w:tabs>
        <w:spacing w:line="360" w:lineRule="auto"/>
        <w:ind w:hanging="720"/>
        <w:jc w:val="both"/>
        <w:rPr>
          <w:rFonts w:ascii="Times New Roman" w:hAnsi="Times New Roman"/>
          <w:b/>
          <w:sz w:val="24"/>
        </w:rPr>
      </w:pPr>
      <w:r>
        <w:rPr>
          <w:rFonts w:ascii="Times New Roman" w:hAnsi="Times New Roman"/>
          <w:b/>
          <w:sz w:val="24"/>
        </w:rPr>
        <w:t xml:space="preserve">FUENTES E INSTRUMENTOS DE INFORMACIÓN: </w:t>
      </w: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Las fuentes de información utilizadas fueron dos: 1) información directamente obtenida de las instituciones del sector salud (MSPAS, ISSS)  y  2) de la base de datos de </w:t>
      </w:r>
      <w:smartTag w:uri="urn:schemas-microsoft-com:office:smarttags" w:element="PersonName">
        <w:smartTagPr>
          <w:attr w:name="ProductID" w:val="la Encuesta"/>
        </w:smartTagPr>
        <w:r>
          <w:rPr>
            <w:rFonts w:ascii="Times New Roman" w:hAnsi="Times New Roman"/>
            <w:sz w:val="24"/>
          </w:rPr>
          <w:t>la Encuesta</w:t>
        </w:r>
      </w:smartTag>
      <w:r>
        <w:rPr>
          <w:rFonts w:ascii="Times New Roman" w:hAnsi="Times New Roman"/>
          <w:sz w:val="24"/>
        </w:rPr>
        <w:t xml:space="preserve"> de Hogares de Propósitos Múltiples EHPM-2001; Para ello se diseñaron formularios específicos que permitieron transmitir a los expertos de </w:t>
      </w:r>
      <w:smartTag w:uri="urn:schemas-microsoft-com:office:smarttags" w:element="PersonName">
        <w:smartTagPr>
          <w:attr w:name="ProductID" w:val="la DIGESTYC"/>
        </w:smartTagPr>
        <w:r>
          <w:rPr>
            <w:rFonts w:ascii="Times New Roman" w:hAnsi="Times New Roman"/>
            <w:sz w:val="24"/>
          </w:rPr>
          <w:t>la DIGESTYC</w:t>
        </w:r>
      </w:smartTag>
      <w:r>
        <w:rPr>
          <w:rFonts w:ascii="Times New Roman" w:hAnsi="Times New Roman"/>
          <w:sz w:val="24"/>
        </w:rPr>
        <w:t xml:space="preserve">  las necesidades de información, sus relaciones y luego  procesar la información. Los formularios se consignan en la sección de anexos.</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numPr>
          <w:ilvl w:val="0"/>
          <w:numId w:val="17"/>
        </w:numPr>
        <w:tabs>
          <w:tab w:val="clear" w:pos="720"/>
        </w:tabs>
        <w:spacing w:line="360" w:lineRule="auto"/>
        <w:ind w:left="480" w:hanging="480"/>
        <w:jc w:val="both"/>
        <w:rPr>
          <w:rFonts w:ascii="Times New Roman" w:hAnsi="Times New Roman"/>
          <w:b/>
          <w:sz w:val="24"/>
        </w:rPr>
      </w:pPr>
      <w:r>
        <w:rPr>
          <w:rFonts w:ascii="Times New Roman" w:hAnsi="Times New Roman"/>
          <w:b/>
          <w:sz w:val="24"/>
        </w:rPr>
        <w:t xml:space="preserve">CARACTERÍSTICAS DE </w:t>
      </w:r>
      <w:smartTag w:uri="urn:schemas-microsoft-com:office:smarttags" w:element="PersonName">
        <w:smartTagPr>
          <w:attr w:name="ProductID" w:val="LA ENCUESTA DE"/>
        </w:smartTagPr>
        <w:r>
          <w:rPr>
            <w:rFonts w:ascii="Times New Roman" w:hAnsi="Times New Roman"/>
            <w:b/>
            <w:sz w:val="24"/>
          </w:rPr>
          <w:t>LA ENCUESTA DE</w:t>
        </w:r>
      </w:smartTag>
      <w:r>
        <w:rPr>
          <w:rFonts w:ascii="Times New Roman" w:hAnsi="Times New Roman"/>
          <w:b/>
          <w:sz w:val="24"/>
        </w:rPr>
        <w:t xml:space="preserve"> HOGARES DE PROPÓSITOS MÚLTIPLES  EHPM-2001 </w:t>
      </w:r>
    </w:p>
    <w:p w:rsidR="00081A52" w:rsidRDefault="00081A52">
      <w:pPr>
        <w:pStyle w:val="Textoindependiente"/>
        <w:spacing w:line="360" w:lineRule="auto"/>
        <w:jc w:val="both"/>
        <w:rPr>
          <w:rFonts w:ascii="Times New Roman" w:hAnsi="Times New Roman"/>
          <w:b/>
          <w:sz w:val="24"/>
        </w:rPr>
      </w:pPr>
      <w:smartTag w:uri="urn:schemas-microsoft-com:office:smarttags" w:element="PersonName">
        <w:smartTagPr>
          <w:attr w:name="ProductID" w:val="la Encuesta"/>
        </w:smartTagPr>
        <w:r>
          <w:rPr>
            <w:rFonts w:ascii="Times New Roman" w:hAnsi="Times New Roman"/>
            <w:sz w:val="24"/>
          </w:rPr>
          <w:t>La Encuesta</w:t>
        </w:r>
      </w:smartTag>
      <w:r>
        <w:rPr>
          <w:rFonts w:ascii="Times New Roman" w:hAnsi="Times New Roman"/>
          <w:sz w:val="24"/>
        </w:rPr>
        <w:t xml:space="preserve"> de Hogares de Propósitos Múltiples EHPM-2001</w:t>
      </w:r>
      <w:r>
        <w:rPr>
          <w:rFonts w:ascii="Times New Roman" w:hAnsi="Times New Roman"/>
          <w:b/>
          <w:sz w:val="24"/>
        </w:rPr>
        <w:t xml:space="preserve"> </w:t>
      </w:r>
      <w:r>
        <w:rPr>
          <w:rFonts w:ascii="Times New Roman" w:hAnsi="Times New Roman"/>
          <w:sz w:val="24"/>
        </w:rPr>
        <w:t xml:space="preserve">periódicamente se elabora en nuestro país por </w:t>
      </w:r>
      <w:smartTag w:uri="urn:schemas-microsoft-com:office:smarttags" w:element="PersonName">
        <w:smartTagPr>
          <w:attr w:name="ProductID" w:val="la DIGESTYC"/>
        </w:smartTagPr>
        <w:r>
          <w:rPr>
            <w:rFonts w:ascii="Times New Roman" w:hAnsi="Times New Roman"/>
            <w:sz w:val="24"/>
          </w:rPr>
          <w:t>la DIGESTYC</w:t>
        </w:r>
      </w:smartTag>
      <w:r>
        <w:rPr>
          <w:rFonts w:ascii="Times New Roman" w:hAnsi="Times New Roman"/>
          <w:sz w:val="24"/>
        </w:rPr>
        <w:t xml:space="preserve"> y la hemos tomado como base de información principal de nuestro estudio, con el objetivo de proporcionar información más precisa sobre la  misma.</w:t>
      </w:r>
      <w:r>
        <w:rPr>
          <w:rFonts w:ascii="Times New Roman" w:hAnsi="Times New Roman"/>
          <w:b/>
          <w:sz w:val="24"/>
        </w:rPr>
        <w:t xml:space="preserve">  </w:t>
      </w: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lastRenderedPageBreak/>
        <w:t>La encuesta fue administrada en el período comprendido de Julio a Diciembre  2001, con una cobertura Nacional, cubriendo área urbana y rural.</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smartTag w:uri="urn:schemas-microsoft-com:office:smarttags" w:element="PersonName">
        <w:smartTagPr>
          <w:attr w:name="ProductID" w:val="La  Encuesta"/>
        </w:smartTagPr>
        <w:r>
          <w:rPr>
            <w:rFonts w:ascii="Times New Roman" w:hAnsi="Times New Roman"/>
            <w:sz w:val="24"/>
          </w:rPr>
          <w:t>La  Encuesta</w:t>
        </w:r>
      </w:smartTag>
      <w:r>
        <w:rPr>
          <w:rFonts w:ascii="Times New Roman" w:hAnsi="Times New Roman"/>
          <w:sz w:val="24"/>
        </w:rPr>
        <w:t xml:space="preserve"> de Hogares de Propósitos Múltiples (EHPM), esta diseñada como un  sistema continuo de  encuestas, basadas en sub muestras  mensuales representativas del país, con aplicación de Módulos permanentes y suplementarios.  Las variables que investiga </w:t>
      </w:r>
      <w:smartTag w:uri="urn:schemas-microsoft-com:office:smarttags" w:element="PersonName">
        <w:smartTagPr>
          <w:attr w:name="ProductID" w:val="la EHPM"/>
        </w:smartTagPr>
        <w:r>
          <w:rPr>
            <w:rFonts w:ascii="Times New Roman" w:hAnsi="Times New Roman"/>
            <w:sz w:val="24"/>
          </w:rPr>
          <w:t>la EHPM</w:t>
        </w:r>
      </w:smartTag>
      <w:r>
        <w:rPr>
          <w:rFonts w:ascii="Times New Roman" w:hAnsi="Times New Roman"/>
          <w:sz w:val="24"/>
        </w:rPr>
        <w:t xml:space="preserve"> son las siguientes:</w:t>
      </w:r>
    </w:p>
    <w:p w:rsidR="00081A52" w:rsidRDefault="00081A52">
      <w:pPr>
        <w:pStyle w:val="Textoindependiente"/>
        <w:numPr>
          <w:ilvl w:val="0"/>
          <w:numId w:val="8"/>
        </w:numPr>
        <w:spacing w:line="360" w:lineRule="auto"/>
        <w:jc w:val="both"/>
        <w:rPr>
          <w:rFonts w:ascii="Times New Roman" w:hAnsi="Times New Roman"/>
          <w:sz w:val="24"/>
        </w:rPr>
      </w:pPr>
      <w:r>
        <w:rPr>
          <w:rFonts w:ascii="Times New Roman" w:hAnsi="Times New Roman"/>
          <w:sz w:val="24"/>
        </w:rPr>
        <w:t>Características Socio Demográficas</w:t>
      </w:r>
    </w:p>
    <w:p w:rsidR="00081A52" w:rsidRDefault="00081A52">
      <w:pPr>
        <w:pStyle w:val="Textoindependiente"/>
        <w:numPr>
          <w:ilvl w:val="0"/>
          <w:numId w:val="8"/>
        </w:numPr>
        <w:spacing w:line="360" w:lineRule="auto"/>
        <w:jc w:val="both"/>
        <w:rPr>
          <w:rFonts w:ascii="Times New Roman" w:hAnsi="Times New Roman"/>
          <w:sz w:val="24"/>
        </w:rPr>
      </w:pPr>
      <w:r>
        <w:rPr>
          <w:rFonts w:ascii="Times New Roman" w:hAnsi="Times New Roman"/>
          <w:sz w:val="24"/>
        </w:rPr>
        <w:t xml:space="preserve">Características de Educación </w:t>
      </w:r>
    </w:p>
    <w:p w:rsidR="00081A52" w:rsidRDefault="00081A52">
      <w:pPr>
        <w:pStyle w:val="Textoindependiente"/>
        <w:numPr>
          <w:ilvl w:val="0"/>
          <w:numId w:val="8"/>
        </w:numPr>
        <w:spacing w:line="360" w:lineRule="auto"/>
        <w:jc w:val="both"/>
        <w:rPr>
          <w:rFonts w:ascii="Times New Roman" w:hAnsi="Times New Roman"/>
          <w:sz w:val="24"/>
        </w:rPr>
      </w:pPr>
      <w:r>
        <w:rPr>
          <w:rFonts w:ascii="Times New Roman" w:hAnsi="Times New Roman"/>
          <w:sz w:val="24"/>
        </w:rPr>
        <w:t xml:space="preserve">Características de </w:t>
      </w:r>
      <w:smartTag w:uri="urn:schemas-microsoft-com:office:smarttags" w:element="PersonName">
        <w:smartTagPr>
          <w:attr w:name="ProductID" w:val="la Vivienda"/>
        </w:smartTagPr>
        <w:r>
          <w:rPr>
            <w:rFonts w:ascii="Times New Roman" w:hAnsi="Times New Roman"/>
            <w:sz w:val="24"/>
          </w:rPr>
          <w:t>la Vivienda</w:t>
        </w:r>
      </w:smartTag>
    </w:p>
    <w:p w:rsidR="00081A52" w:rsidRDefault="00081A52">
      <w:pPr>
        <w:pStyle w:val="Textoindependiente"/>
        <w:numPr>
          <w:ilvl w:val="0"/>
          <w:numId w:val="8"/>
        </w:numPr>
        <w:spacing w:line="360" w:lineRule="auto"/>
        <w:jc w:val="both"/>
        <w:rPr>
          <w:rFonts w:ascii="Times New Roman" w:hAnsi="Times New Roman"/>
          <w:sz w:val="24"/>
        </w:rPr>
      </w:pPr>
      <w:r>
        <w:rPr>
          <w:rFonts w:ascii="Times New Roman" w:hAnsi="Times New Roman"/>
          <w:sz w:val="24"/>
        </w:rPr>
        <w:t>Empleo e  Ingreso</w:t>
      </w:r>
    </w:p>
    <w:p w:rsidR="00081A52" w:rsidRDefault="00081A52">
      <w:pPr>
        <w:pStyle w:val="Textoindependiente"/>
        <w:numPr>
          <w:ilvl w:val="0"/>
          <w:numId w:val="8"/>
        </w:numPr>
        <w:spacing w:line="360" w:lineRule="auto"/>
        <w:jc w:val="both"/>
        <w:rPr>
          <w:rFonts w:ascii="Times New Roman" w:hAnsi="Times New Roman"/>
          <w:sz w:val="24"/>
        </w:rPr>
      </w:pPr>
      <w:r>
        <w:rPr>
          <w:rFonts w:ascii="Times New Roman" w:hAnsi="Times New Roman"/>
          <w:sz w:val="24"/>
        </w:rPr>
        <w:t>Actividad Agropecuaria</w:t>
      </w:r>
    </w:p>
    <w:p w:rsidR="00081A52" w:rsidRDefault="00081A52">
      <w:pPr>
        <w:pStyle w:val="Textoindependiente"/>
        <w:numPr>
          <w:ilvl w:val="0"/>
          <w:numId w:val="8"/>
        </w:numPr>
        <w:spacing w:line="360" w:lineRule="auto"/>
        <w:jc w:val="both"/>
        <w:rPr>
          <w:rFonts w:ascii="Times New Roman" w:hAnsi="Times New Roman"/>
          <w:sz w:val="24"/>
        </w:rPr>
      </w:pPr>
      <w:r>
        <w:rPr>
          <w:rFonts w:ascii="Times New Roman" w:hAnsi="Times New Roman"/>
          <w:sz w:val="24"/>
        </w:rPr>
        <w:t xml:space="preserve">Salud </w:t>
      </w:r>
    </w:p>
    <w:p w:rsidR="00081A52" w:rsidRDefault="00081A52">
      <w:pPr>
        <w:pStyle w:val="Textoindependiente"/>
        <w:numPr>
          <w:ilvl w:val="0"/>
          <w:numId w:val="8"/>
        </w:numPr>
        <w:spacing w:line="360" w:lineRule="auto"/>
        <w:jc w:val="both"/>
        <w:rPr>
          <w:rFonts w:ascii="Times New Roman" w:hAnsi="Times New Roman"/>
          <w:sz w:val="24"/>
        </w:rPr>
      </w:pPr>
      <w:r>
        <w:rPr>
          <w:rFonts w:ascii="Times New Roman" w:hAnsi="Times New Roman"/>
          <w:sz w:val="24"/>
        </w:rPr>
        <w:t>Remesas Familiares</w:t>
      </w:r>
    </w:p>
    <w:p w:rsidR="00081A52" w:rsidRDefault="00081A52">
      <w:pPr>
        <w:pStyle w:val="Textoindependiente"/>
        <w:numPr>
          <w:ilvl w:val="0"/>
          <w:numId w:val="8"/>
        </w:numPr>
        <w:spacing w:line="360" w:lineRule="auto"/>
        <w:jc w:val="both"/>
        <w:rPr>
          <w:rFonts w:ascii="Times New Roman" w:hAnsi="Times New Roman"/>
          <w:sz w:val="24"/>
        </w:rPr>
      </w:pPr>
      <w:r>
        <w:rPr>
          <w:rFonts w:ascii="Times New Roman" w:hAnsi="Times New Roman"/>
          <w:sz w:val="24"/>
        </w:rPr>
        <w:t>Gasto del Hogar</w:t>
      </w:r>
    </w:p>
    <w:p w:rsidR="00081A52" w:rsidRDefault="00081A52">
      <w:pPr>
        <w:pStyle w:val="Textoindependiente"/>
        <w:spacing w:line="360" w:lineRule="auto"/>
        <w:ind w:left="708"/>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De las cuales se utilizaron algunas variables de Salud, Socio demográficas, ingreso y gasto del Hogar que están vinculadas a los objetivos del presente estudio.</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b/>
          <w:sz w:val="24"/>
        </w:rPr>
        <w:t>Marco Muestral y su utilización</w:t>
      </w:r>
      <w:r>
        <w:rPr>
          <w:rFonts w:ascii="Times New Roman" w:hAnsi="Times New Roman"/>
          <w:sz w:val="24"/>
        </w:rPr>
        <w:t>: El marco muestral se basa en el material Cartográfico del ultimo censo de Población y Vivienda (1992); el área urbana de este marco fue actualizada en 1995, con un total de 1,073, 172 viviendas; mismo que fue nuevamente actualizado a finales de 1997 en las principales ciudades con visitas directas al terreno, estableciendo un marco muestral final de 1, 082,064 viviendas.</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b/>
          <w:sz w:val="24"/>
        </w:rPr>
        <w:t>Tipo de Muestreo</w:t>
      </w:r>
      <w:r>
        <w:rPr>
          <w:rFonts w:ascii="Times New Roman" w:hAnsi="Times New Roman"/>
          <w:sz w:val="24"/>
        </w:rPr>
        <w:t xml:space="preserve">: El tipo de muestreo utilizado por </w:t>
      </w:r>
      <w:smartTag w:uri="urn:schemas-microsoft-com:office:smarttags" w:element="PersonName">
        <w:smartTagPr>
          <w:attr w:name="ProductID" w:val="la EHPM"/>
        </w:smartTagPr>
        <w:r>
          <w:rPr>
            <w:rFonts w:ascii="Times New Roman" w:hAnsi="Times New Roman"/>
            <w:sz w:val="24"/>
          </w:rPr>
          <w:t>la EHPM</w:t>
        </w:r>
      </w:smartTag>
      <w:r>
        <w:rPr>
          <w:rFonts w:ascii="Times New Roman" w:hAnsi="Times New Roman"/>
          <w:sz w:val="24"/>
        </w:rPr>
        <w:t xml:space="preserve"> fue estratificado por conglomerados y polietápico. En cada estrato se obtuvo una muestra independiente que lo representará y  a la vez el conjunto de todos ellos representa el país.</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b/>
          <w:sz w:val="24"/>
        </w:rPr>
        <w:t xml:space="preserve">Estratificación de </w:t>
      </w:r>
      <w:smartTag w:uri="urn:schemas-microsoft-com:office:smarttags" w:element="PersonName">
        <w:smartTagPr>
          <w:attr w:name="ProductID" w:val="la Muestra"/>
        </w:smartTagPr>
        <w:r>
          <w:rPr>
            <w:rFonts w:ascii="Times New Roman" w:hAnsi="Times New Roman"/>
            <w:b/>
            <w:sz w:val="24"/>
          </w:rPr>
          <w:t>la Muestra</w:t>
        </w:r>
      </w:smartTag>
      <w:r>
        <w:rPr>
          <w:rFonts w:ascii="Times New Roman" w:hAnsi="Times New Roman"/>
          <w:b/>
          <w:sz w:val="24"/>
        </w:rPr>
        <w:t xml:space="preserve">: </w:t>
      </w:r>
      <w:r>
        <w:rPr>
          <w:rFonts w:ascii="Times New Roman" w:hAnsi="Times New Roman"/>
          <w:sz w:val="24"/>
        </w:rPr>
        <w:t xml:space="preserve">La estratificación utilizada es de tipo geográfico. Dividiendo al país en ciento cinco estratos y se entendió como tal la conjunción de división </w:t>
      </w:r>
      <w:r>
        <w:rPr>
          <w:rFonts w:ascii="Times New Roman" w:hAnsi="Times New Roman"/>
          <w:sz w:val="24"/>
        </w:rPr>
        <w:lastRenderedPageBreak/>
        <w:t>político-Administrativa (Municipio o Agrupación de Municipios) y área geográfica (urbana y Rural).</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b/>
          <w:sz w:val="24"/>
        </w:rPr>
        <w:t>Tamaño y asignación de  la muestra de  hogares</w:t>
      </w:r>
      <w:r>
        <w:rPr>
          <w:rFonts w:ascii="Times New Roman" w:hAnsi="Times New Roman"/>
          <w:sz w:val="24"/>
        </w:rPr>
        <w:t xml:space="preserve">: La determinación de la muestra se elaboró tomando en consideración los siguientes elementos disponibles, las limitaciones operacionales, disponer de un tamaño de Muestra que permita proporcionar estimaciones al nivel de región, urbano y rural, departamento. Las encuestas se realizaron durante el período  entre los meses de julio hasta Diciembre del año 2001 y se efectuaron en 13, 000 viviendas.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Con lo anterior se procedió a elaborar 7 indicadores para caracterizar las condiciones de Equidad en la disponibilidad y utilización de los servicios de salud en El Salvador. Tomando para ello como referentes algunos indicadores de evaluación de las condiciones de vida y desarrollo de la población como el Coeficiente GINI, Razón de Kutznetz y coeficientes de desigualdad.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Los indicadores  utilizados en el presente estudio son:</w:t>
      </w:r>
    </w:p>
    <w:p w:rsidR="00081A52" w:rsidRDefault="00081A52">
      <w:pPr>
        <w:pStyle w:val="Textoindependiente"/>
        <w:numPr>
          <w:ilvl w:val="0"/>
          <w:numId w:val="1"/>
        </w:numPr>
        <w:spacing w:line="360" w:lineRule="auto"/>
        <w:jc w:val="both"/>
        <w:rPr>
          <w:rFonts w:ascii="Times New Roman" w:hAnsi="Times New Roman"/>
          <w:b/>
          <w:sz w:val="24"/>
        </w:rPr>
      </w:pPr>
      <w:r>
        <w:rPr>
          <w:rFonts w:ascii="Times New Roman" w:hAnsi="Times New Roman"/>
          <w:b/>
          <w:sz w:val="24"/>
        </w:rPr>
        <w:t xml:space="preserve"> Distribución de la oferta de servicios ambulatorios de salud  MSPAS / ISSS-2001.</w:t>
      </w:r>
    </w:p>
    <w:p w:rsidR="00081A52" w:rsidRDefault="00081A52">
      <w:pPr>
        <w:pStyle w:val="Textoindependiente"/>
        <w:spacing w:line="360" w:lineRule="auto"/>
        <w:ind w:left="357"/>
        <w:jc w:val="both"/>
        <w:rPr>
          <w:rFonts w:ascii="Times New Roman" w:hAnsi="Times New Roman"/>
          <w:sz w:val="24"/>
        </w:rPr>
      </w:pPr>
      <w:r>
        <w:rPr>
          <w:rFonts w:ascii="Times New Roman" w:hAnsi="Times New Roman"/>
          <w:sz w:val="24"/>
        </w:rPr>
        <w:t xml:space="preserve">Se refiere a la distribución de la oferta física potencial y presenta la distribución física de los establecimientos ambulatorios  de salud  del MSPAS y del ISSS en todo el país, con relación a la población. Se calcula como un índice de distribución de los establecimiento, por área geográfica, departamentos, como el Coeficiente de  GINI se construye con base en la formula de Brown, de igual manera se gráfica en la curva de Lorens. </w:t>
      </w:r>
    </w:p>
    <w:p w:rsidR="00081A52" w:rsidRDefault="00081A52">
      <w:pPr>
        <w:pStyle w:val="Textoindependiente"/>
        <w:spacing w:line="360" w:lineRule="auto"/>
        <w:ind w:left="360"/>
        <w:jc w:val="both"/>
        <w:rPr>
          <w:rFonts w:ascii="Times New Roman" w:hAnsi="Times New Roman"/>
          <w:b/>
          <w:sz w:val="24"/>
        </w:rPr>
      </w:pPr>
      <w:r>
        <w:rPr>
          <w:rFonts w:ascii="Times New Roman" w:hAnsi="Times New Roman"/>
          <w:sz w:val="24"/>
        </w:rPr>
        <w:t xml:space="preserve">A continuación se presenta la fórmula de Brown;  </w:t>
      </w:r>
    </w:p>
    <w:p w:rsidR="00081A52" w:rsidRDefault="00081A52">
      <w:pPr>
        <w:spacing w:line="360" w:lineRule="auto"/>
        <w:jc w:val="both"/>
        <w:outlineLvl w:val="0"/>
        <w:rPr>
          <w:b/>
          <w:sz w:val="24"/>
          <w:lang w:val="en-GB"/>
        </w:rPr>
      </w:pPr>
      <w:r>
        <w:rPr>
          <w:sz w:val="24"/>
          <w:lang w:val="es-ES_tradnl"/>
        </w:rPr>
        <w:t xml:space="preserve">                         </w:t>
      </w:r>
      <w:r>
        <w:rPr>
          <w:sz w:val="24"/>
          <w:lang w:val="en-GB"/>
        </w:rPr>
        <w:t xml:space="preserve">K-1                                                        </w:t>
      </w:r>
    </w:p>
    <w:p w:rsidR="00081A52" w:rsidRDefault="00081A52">
      <w:pPr>
        <w:tabs>
          <w:tab w:val="left" w:pos="1200"/>
        </w:tabs>
        <w:spacing w:line="360" w:lineRule="auto"/>
        <w:jc w:val="both"/>
        <w:outlineLvl w:val="0"/>
        <w:rPr>
          <w:b/>
          <w:sz w:val="24"/>
          <w:lang w:val="en-GB"/>
        </w:rPr>
      </w:pPr>
      <w:r>
        <w:rPr>
          <w:b/>
          <w:sz w:val="24"/>
          <w:lang w:val="en-GB"/>
        </w:rPr>
        <w:t xml:space="preserve">         G = 1 </w:t>
      </w:r>
      <w:r>
        <w:rPr>
          <w:b/>
          <w:sz w:val="24"/>
          <w:lang w:val="es-ES"/>
        </w:rPr>
        <w:sym w:font="Symbol" w:char="F0E5"/>
      </w:r>
      <w:r>
        <w:rPr>
          <w:b/>
          <w:sz w:val="24"/>
          <w:lang w:val="en-GB"/>
        </w:rPr>
        <w:t>(Y</w:t>
      </w:r>
      <w:r>
        <w:rPr>
          <w:b/>
          <w:sz w:val="24"/>
          <w:vertAlign w:val="subscript"/>
          <w:lang w:val="en-GB"/>
        </w:rPr>
        <w:t>i+1</w:t>
      </w:r>
      <w:r>
        <w:rPr>
          <w:b/>
          <w:sz w:val="24"/>
          <w:lang w:val="en-GB"/>
        </w:rPr>
        <w:t xml:space="preserve"> + Y</w:t>
      </w:r>
      <w:r>
        <w:rPr>
          <w:b/>
          <w:sz w:val="24"/>
          <w:vertAlign w:val="subscript"/>
          <w:lang w:val="en-GB"/>
        </w:rPr>
        <w:t>i</w:t>
      </w:r>
      <w:r>
        <w:rPr>
          <w:b/>
          <w:sz w:val="24"/>
          <w:lang w:val="en-GB"/>
        </w:rPr>
        <w:t xml:space="preserve">) (X </w:t>
      </w:r>
      <w:r>
        <w:rPr>
          <w:b/>
          <w:sz w:val="24"/>
          <w:vertAlign w:val="subscript"/>
          <w:lang w:val="en-GB"/>
        </w:rPr>
        <w:t>i + 1</w:t>
      </w:r>
      <w:r>
        <w:rPr>
          <w:b/>
          <w:sz w:val="24"/>
          <w:lang w:val="en-GB"/>
        </w:rPr>
        <w:t xml:space="preserve"> - X</w:t>
      </w:r>
      <w:r>
        <w:rPr>
          <w:b/>
          <w:sz w:val="24"/>
          <w:vertAlign w:val="subscript"/>
          <w:lang w:val="en-GB"/>
        </w:rPr>
        <w:t>i</w:t>
      </w:r>
      <w:r>
        <w:rPr>
          <w:b/>
          <w:sz w:val="24"/>
          <w:lang w:val="en-GB"/>
        </w:rPr>
        <w:t xml:space="preserve">) </w:t>
      </w:r>
    </w:p>
    <w:p w:rsidR="00081A52" w:rsidRDefault="00081A52">
      <w:pPr>
        <w:tabs>
          <w:tab w:val="left" w:pos="1200"/>
        </w:tabs>
        <w:spacing w:line="360" w:lineRule="auto"/>
        <w:jc w:val="both"/>
        <w:outlineLvl w:val="0"/>
        <w:rPr>
          <w:sz w:val="24"/>
          <w:lang w:val="es-ES"/>
        </w:rPr>
      </w:pPr>
      <w:r>
        <w:rPr>
          <w:b/>
          <w:sz w:val="24"/>
          <w:lang w:val="en-GB"/>
        </w:rPr>
        <w:t xml:space="preserve">                               </w:t>
      </w:r>
      <w:r>
        <w:rPr>
          <w:b/>
          <w:sz w:val="24"/>
          <w:lang w:val="es-ES"/>
        </w:rPr>
        <w:t xml:space="preserve">I </w:t>
      </w:r>
      <w:r>
        <w:rPr>
          <w:sz w:val="24"/>
          <w:lang w:val="es-ES"/>
        </w:rPr>
        <w:t xml:space="preserve">= 0                                                       </w:t>
      </w:r>
    </w:p>
    <w:p w:rsidR="00081A52" w:rsidRDefault="00081A52">
      <w:pPr>
        <w:spacing w:line="360" w:lineRule="auto"/>
        <w:jc w:val="both"/>
        <w:outlineLvl w:val="0"/>
        <w:rPr>
          <w:b/>
          <w:sz w:val="24"/>
          <w:lang w:val="es-ES"/>
        </w:rPr>
      </w:pPr>
      <w:r>
        <w:rPr>
          <w:sz w:val="24"/>
        </w:rPr>
        <w:t xml:space="preserve">    </w:t>
      </w:r>
      <w:r>
        <w:rPr>
          <w:sz w:val="24"/>
          <w:lang w:val="es-ES"/>
        </w:rPr>
        <w:t xml:space="preserve">En donde;  </w:t>
      </w:r>
      <w:r>
        <w:rPr>
          <w:b/>
          <w:sz w:val="24"/>
          <w:lang w:val="es-ES"/>
        </w:rPr>
        <w:t>G= Coeficiente GINI, Y= Proporción  acumulada de la  variable  Salud.</w:t>
      </w:r>
    </w:p>
    <w:p w:rsidR="00081A52" w:rsidRDefault="00081A52">
      <w:pPr>
        <w:spacing w:line="360" w:lineRule="auto"/>
        <w:jc w:val="both"/>
        <w:outlineLvl w:val="0"/>
        <w:rPr>
          <w:sz w:val="24"/>
          <w:lang w:val="es-ES"/>
        </w:rPr>
      </w:pPr>
      <w:r>
        <w:rPr>
          <w:sz w:val="24"/>
        </w:rPr>
        <w:t xml:space="preserve">    </w:t>
      </w:r>
      <w:r>
        <w:rPr>
          <w:sz w:val="24"/>
          <w:lang w:val="es-ES"/>
        </w:rPr>
        <w:t>X= Proporción acumulada de la v. Población y K= Número de Unidades  Geopolíticas</w:t>
      </w:r>
    </w:p>
    <w:p w:rsidR="00081A52" w:rsidRDefault="00081A52">
      <w:pPr>
        <w:pStyle w:val="Textoindependiente"/>
        <w:numPr>
          <w:ilvl w:val="0"/>
          <w:numId w:val="1"/>
        </w:numPr>
        <w:spacing w:line="360" w:lineRule="auto"/>
        <w:jc w:val="both"/>
        <w:rPr>
          <w:rFonts w:ascii="Times New Roman" w:hAnsi="Times New Roman"/>
          <w:b/>
          <w:sz w:val="24"/>
        </w:rPr>
      </w:pPr>
      <w:r>
        <w:rPr>
          <w:rFonts w:ascii="Times New Roman" w:hAnsi="Times New Roman"/>
          <w:b/>
          <w:sz w:val="24"/>
        </w:rPr>
        <w:lastRenderedPageBreak/>
        <w:t xml:space="preserve"> Distribución de la oferta de servicios Hospitalarios de salud  MSPAS / ISSS-2001. </w:t>
      </w:r>
      <w:r>
        <w:rPr>
          <w:rFonts w:ascii="Times New Roman" w:hAnsi="Times New Roman"/>
          <w:sz w:val="24"/>
        </w:rPr>
        <w:t>Se refiere a la distribución de la oferta física potencial, presenta la distribución física de los establecimientos Hospitalarios de salud  del MSPAS y del ISSS. Se calcula como un índice de distribución de dichos establecimiento, por área geográfica, departamentos, al igual que el Coeficiente de  GINI se construye con base en la formula de Brown y de igual manera sé gráfica en la curva de Lorens. A continuación se presenta la formula de Brown;</w:t>
      </w:r>
    </w:p>
    <w:p w:rsidR="00081A52" w:rsidRDefault="00081A52">
      <w:pPr>
        <w:spacing w:line="360" w:lineRule="auto"/>
        <w:jc w:val="both"/>
        <w:outlineLvl w:val="0"/>
        <w:rPr>
          <w:b/>
          <w:sz w:val="24"/>
          <w:lang w:val="es-ES"/>
        </w:rPr>
      </w:pPr>
      <w:r>
        <w:rPr>
          <w:sz w:val="24"/>
          <w:lang w:val="es-ES"/>
        </w:rPr>
        <w:t xml:space="preserve">                            K-1                                                        </w:t>
      </w:r>
    </w:p>
    <w:p w:rsidR="00081A52" w:rsidRDefault="00081A52">
      <w:pPr>
        <w:tabs>
          <w:tab w:val="left" w:pos="1200"/>
        </w:tabs>
        <w:spacing w:line="360" w:lineRule="auto"/>
        <w:jc w:val="both"/>
        <w:outlineLvl w:val="0"/>
        <w:rPr>
          <w:b/>
          <w:sz w:val="24"/>
          <w:lang w:val="es-ES"/>
        </w:rPr>
      </w:pPr>
      <w:r>
        <w:rPr>
          <w:b/>
          <w:sz w:val="24"/>
          <w:lang w:val="es-ES"/>
        </w:rPr>
        <w:t xml:space="preserve">         G = 1 </w:t>
      </w:r>
      <w:r>
        <w:rPr>
          <w:b/>
          <w:sz w:val="24"/>
          <w:lang w:val="es-ES"/>
        </w:rPr>
        <w:sym w:font="Symbol" w:char="F0E5"/>
      </w:r>
      <w:r>
        <w:rPr>
          <w:b/>
          <w:sz w:val="24"/>
          <w:lang w:val="es-ES"/>
        </w:rPr>
        <w:t>(Y</w:t>
      </w:r>
      <w:r>
        <w:rPr>
          <w:b/>
          <w:sz w:val="24"/>
          <w:vertAlign w:val="subscript"/>
          <w:lang w:val="es-ES"/>
        </w:rPr>
        <w:t>i+1</w:t>
      </w:r>
      <w:r>
        <w:rPr>
          <w:b/>
          <w:sz w:val="24"/>
          <w:lang w:val="es-ES"/>
        </w:rPr>
        <w:t xml:space="preserve"> + Y</w:t>
      </w:r>
      <w:r>
        <w:rPr>
          <w:b/>
          <w:sz w:val="24"/>
          <w:vertAlign w:val="subscript"/>
          <w:lang w:val="es-ES"/>
        </w:rPr>
        <w:t>i</w:t>
      </w:r>
      <w:r>
        <w:rPr>
          <w:b/>
          <w:sz w:val="24"/>
          <w:lang w:val="es-ES"/>
        </w:rPr>
        <w:t xml:space="preserve">) (X </w:t>
      </w:r>
      <w:r>
        <w:rPr>
          <w:b/>
          <w:sz w:val="24"/>
          <w:vertAlign w:val="subscript"/>
          <w:lang w:val="es-ES"/>
        </w:rPr>
        <w:t>i + 1</w:t>
      </w:r>
      <w:r>
        <w:rPr>
          <w:b/>
          <w:sz w:val="24"/>
          <w:lang w:val="es-ES"/>
        </w:rPr>
        <w:t xml:space="preserve"> - X</w:t>
      </w:r>
      <w:r>
        <w:rPr>
          <w:b/>
          <w:sz w:val="24"/>
          <w:vertAlign w:val="subscript"/>
          <w:lang w:val="es-ES"/>
        </w:rPr>
        <w:t>i</w:t>
      </w:r>
      <w:r>
        <w:rPr>
          <w:b/>
          <w:sz w:val="24"/>
          <w:lang w:val="es-ES"/>
        </w:rPr>
        <w:t xml:space="preserve">) </w:t>
      </w:r>
    </w:p>
    <w:p w:rsidR="00081A52" w:rsidRDefault="00081A52">
      <w:pPr>
        <w:tabs>
          <w:tab w:val="left" w:pos="1200"/>
        </w:tabs>
        <w:spacing w:line="360" w:lineRule="auto"/>
        <w:jc w:val="both"/>
        <w:outlineLvl w:val="0"/>
        <w:rPr>
          <w:sz w:val="24"/>
          <w:lang w:val="es-ES"/>
        </w:rPr>
      </w:pPr>
      <w:r>
        <w:rPr>
          <w:b/>
          <w:sz w:val="24"/>
          <w:lang w:val="es-ES"/>
        </w:rPr>
        <w:t xml:space="preserve">                               I </w:t>
      </w:r>
      <w:r>
        <w:rPr>
          <w:sz w:val="24"/>
          <w:lang w:val="es-ES"/>
        </w:rPr>
        <w:t xml:space="preserve">= 0                                                       </w:t>
      </w:r>
    </w:p>
    <w:p w:rsidR="00081A52" w:rsidRDefault="00081A52">
      <w:pPr>
        <w:spacing w:line="360" w:lineRule="auto"/>
        <w:jc w:val="both"/>
        <w:outlineLvl w:val="0"/>
        <w:rPr>
          <w:b/>
          <w:sz w:val="24"/>
          <w:lang w:val="es-ES"/>
        </w:rPr>
      </w:pPr>
      <w:r>
        <w:rPr>
          <w:sz w:val="24"/>
        </w:rPr>
        <w:t xml:space="preserve">       </w:t>
      </w:r>
      <w:r>
        <w:rPr>
          <w:sz w:val="24"/>
          <w:lang w:val="es-ES"/>
        </w:rPr>
        <w:t xml:space="preserve">En donde;  </w:t>
      </w:r>
      <w:r>
        <w:rPr>
          <w:b/>
          <w:sz w:val="24"/>
          <w:lang w:val="es-ES"/>
        </w:rPr>
        <w:t>G= Coeficiente GINI, Y= Proporción  acumulada de la  variable Salud.</w:t>
      </w:r>
    </w:p>
    <w:p w:rsidR="00081A52" w:rsidRDefault="00081A52">
      <w:pPr>
        <w:spacing w:line="360" w:lineRule="auto"/>
        <w:jc w:val="both"/>
        <w:outlineLvl w:val="0"/>
        <w:rPr>
          <w:b/>
          <w:sz w:val="24"/>
          <w:lang w:val="es-ES"/>
        </w:rPr>
      </w:pPr>
      <w:r>
        <w:rPr>
          <w:sz w:val="24"/>
        </w:rPr>
        <w:t xml:space="preserve">       </w:t>
      </w:r>
      <w:r>
        <w:rPr>
          <w:sz w:val="24"/>
          <w:lang w:val="es-ES"/>
        </w:rPr>
        <w:t>X= Proporción acumulada de la v. Población y K= Numero de Unidades  Geopolíticas</w:t>
      </w:r>
    </w:p>
    <w:p w:rsidR="00081A52" w:rsidRDefault="00081A52">
      <w:pPr>
        <w:spacing w:line="360" w:lineRule="auto"/>
        <w:jc w:val="both"/>
        <w:rPr>
          <w:sz w:val="24"/>
          <w:lang w:val="es-ES"/>
        </w:rPr>
      </w:pPr>
    </w:p>
    <w:p w:rsidR="00081A52" w:rsidRDefault="00081A52">
      <w:pPr>
        <w:pStyle w:val="Textoindependiente"/>
        <w:numPr>
          <w:ilvl w:val="0"/>
          <w:numId w:val="1"/>
        </w:numPr>
        <w:spacing w:line="360" w:lineRule="auto"/>
        <w:jc w:val="both"/>
        <w:rPr>
          <w:rFonts w:ascii="Times New Roman" w:hAnsi="Times New Roman"/>
          <w:b/>
          <w:sz w:val="24"/>
        </w:rPr>
      </w:pPr>
      <w:r>
        <w:rPr>
          <w:rFonts w:ascii="Times New Roman" w:hAnsi="Times New Roman"/>
          <w:b/>
          <w:sz w:val="24"/>
        </w:rPr>
        <w:t xml:space="preserve">Utilización de los servicios de salud según nivel de ingreso per. cápita en cada subsector; MSPAS, ISSS, Privado, otros. 2001. </w:t>
      </w:r>
      <w:r>
        <w:rPr>
          <w:rFonts w:ascii="Times New Roman" w:hAnsi="Times New Roman"/>
          <w:sz w:val="24"/>
        </w:rPr>
        <w:t xml:space="preserve">Este refleja el comportamiento de la utilización de los servicios de salud en las diferentes instituciones del sector por las familias según nivel de ingreso, se complementa con el análisis de la utilización de los servicios del MSPAS, por las familias de los tres primeros deciles (más bajos) comparativamente con la utilización de los cuatro últimos deciles(más altos) </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numPr>
          <w:ilvl w:val="0"/>
          <w:numId w:val="1"/>
        </w:numPr>
        <w:spacing w:line="360" w:lineRule="auto"/>
        <w:jc w:val="both"/>
        <w:rPr>
          <w:rFonts w:ascii="Times New Roman" w:hAnsi="Times New Roman"/>
          <w:sz w:val="24"/>
        </w:rPr>
      </w:pPr>
      <w:r>
        <w:rPr>
          <w:rFonts w:ascii="Times New Roman" w:hAnsi="Times New Roman"/>
          <w:b/>
          <w:sz w:val="24"/>
        </w:rPr>
        <w:t xml:space="preserve">Coeficiente de desigualdad en el Gasto en salud según nivel de ingreso y procedencia  urbano y rural-2001. </w:t>
      </w:r>
      <w:r>
        <w:rPr>
          <w:rFonts w:ascii="Times New Roman" w:hAnsi="Times New Roman"/>
          <w:sz w:val="24"/>
        </w:rPr>
        <w:t xml:space="preserve">Resume mediante una medida de distribución normal la proporción de la contribución de los hogares según nivel de ingreso y procedencia urbano y rural. Se obtiene al dividir el numero de hogares que reportan gasto en salud según nivel de ingreso y procedencia, entre el total de hogares que reportaron gasto en salud en cada decil.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numPr>
          <w:ilvl w:val="0"/>
          <w:numId w:val="1"/>
        </w:numPr>
        <w:spacing w:line="360" w:lineRule="auto"/>
        <w:jc w:val="both"/>
        <w:rPr>
          <w:rFonts w:ascii="Times New Roman" w:hAnsi="Times New Roman"/>
          <w:b/>
          <w:sz w:val="24"/>
        </w:rPr>
      </w:pPr>
      <w:r>
        <w:rPr>
          <w:rFonts w:ascii="Times New Roman" w:hAnsi="Times New Roman"/>
          <w:b/>
          <w:sz w:val="24"/>
        </w:rPr>
        <w:t xml:space="preserve">Distribución del gasto en salud, según nivel de ingreso familiar en los diferentes rubros prioritarios-2001. </w:t>
      </w:r>
      <w:r>
        <w:rPr>
          <w:rFonts w:ascii="Times New Roman" w:hAnsi="Times New Roman"/>
          <w:sz w:val="24"/>
        </w:rPr>
        <w:t>Este muestra en que rubros prioritariamente realizan gasto en salud las familias que reportaron gasto, según nivel de ingreso.</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numPr>
          <w:ilvl w:val="0"/>
          <w:numId w:val="1"/>
        </w:numPr>
        <w:spacing w:line="360" w:lineRule="auto"/>
        <w:jc w:val="both"/>
        <w:rPr>
          <w:rFonts w:ascii="Times New Roman" w:hAnsi="Times New Roman"/>
          <w:b/>
          <w:sz w:val="24"/>
        </w:rPr>
      </w:pPr>
      <w:r>
        <w:rPr>
          <w:rFonts w:ascii="Times New Roman" w:hAnsi="Times New Roman"/>
          <w:b/>
          <w:sz w:val="24"/>
        </w:rPr>
        <w:lastRenderedPageBreak/>
        <w:t xml:space="preserve">Desigualdad en el gasto prioritario en salud de las familias de los deciles más bajos con relación  a  los deciles  más altos. </w:t>
      </w:r>
      <w:r>
        <w:rPr>
          <w:rFonts w:ascii="Times New Roman" w:hAnsi="Times New Roman"/>
          <w:sz w:val="24"/>
        </w:rPr>
        <w:t>A partir del indicador anterior, este calcula el coeficiente de desigualdad en el gasto prioritario, relacionando el comportamiento de las familias que reportaron gastos prioritarios en los primeros tres  deciles(más bajos) con las de los cuatro  últimos deciles (más altos).</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numPr>
          <w:ilvl w:val="0"/>
          <w:numId w:val="1"/>
        </w:numPr>
        <w:spacing w:line="360" w:lineRule="auto"/>
        <w:jc w:val="both"/>
        <w:rPr>
          <w:rFonts w:ascii="Times New Roman" w:hAnsi="Times New Roman"/>
          <w:b/>
          <w:sz w:val="24"/>
        </w:rPr>
      </w:pPr>
      <w:bookmarkStart w:id="0" w:name="OLE_LINK1"/>
      <w:r>
        <w:rPr>
          <w:rFonts w:ascii="Times New Roman" w:hAnsi="Times New Roman"/>
          <w:b/>
          <w:sz w:val="24"/>
        </w:rPr>
        <w:t>Distribución del gasto en salud con relación al gasto total según Genero y grupo de edad.</w:t>
      </w:r>
      <w:bookmarkEnd w:id="0"/>
      <w:r>
        <w:rPr>
          <w:rFonts w:ascii="Times New Roman" w:hAnsi="Times New Roman"/>
          <w:b/>
          <w:sz w:val="24"/>
        </w:rPr>
        <w:t xml:space="preserve"> </w:t>
      </w:r>
      <w:r>
        <w:rPr>
          <w:rFonts w:ascii="Times New Roman" w:hAnsi="Times New Roman"/>
          <w:sz w:val="24"/>
        </w:rPr>
        <w:t>Este refleja la distribución del gasto en salud genero y calcula el coeficiente de desigualdad en el gasto en salud midiendo la razón masculino / femenino de las personas que registran gasto en salud, según  decil.</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rPr>
          <w:rFonts w:ascii="Times New Roman" w:hAnsi="Times New Roman"/>
          <w:b/>
        </w:rPr>
      </w:pPr>
      <w:r>
        <w:rPr>
          <w:rFonts w:ascii="Times New Roman" w:hAnsi="Times New Roman"/>
          <w:b/>
          <w:sz w:val="24"/>
        </w:rPr>
        <w:br w:type="page"/>
      </w:r>
      <w:r>
        <w:rPr>
          <w:rFonts w:ascii="Times New Roman" w:hAnsi="Times New Roman"/>
          <w:b/>
        </w:rPr>
        <w:lastRenderedPageBreak/>
        <w:t>VIII. RESULTADOS Y  ANÁLISIS</w:t>
      </w:r>
    </w:p>
    <w:p w:rsidR="00081A52" w:rsidRDefault="00081A52">
      <w:pPr>
        <w:pStyle w:val="Textoindependiente"/>
        <w:spacing w:line="360" w:lineRule="auto"/>
        <w:jc w:val="both"/>
        <w:rPr>
          <w:rFonts w:ascii="Times New Roman" w:hAnsi="Times New Roman"/>
          <w:b/>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Con relación al objetivo 2.1 caracterizar las condiciones de equidad en la disponibilidad de los servicios de salud ambulatorios y hospitalarios, en las principales instituciones del sector  se presentan los  indicadores  1 y 2, los que se presentan a continuación:</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numPr>
          <w:ilvl w:val="0"/>
          <w:numId w:val="2"/>
        </w:numPr>
        <w:spacing w:line="360" w:lineRule="auto"/>
        <w:jc w:val="both"/>
        <w:rPr>
          <w:rFonts w:ascii="Times New Roman" w:hAnsi="Times New Roman"/>
          <w:b/>
          <w:sz w:val="24"/>
        </w:rPr>
      </w:pPr>
      <w:r>
        <w:rPr>
          <w:rFonts w:ascii="Times New Roman" w:hAnsi="Times New Roman"/>
          <w:b/>
          <w:sz w:val="24"/>
        </w:rPr>
        <w:t>Inequidad en la distribución de los servicios ambulatorios de salud  MSPAS / ISSS-2001.</w:t>
      </w: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A continuación el gráfico No.7 muestra la curva de Lorens, la  cual  nos  indica   como  sé  comportan los índices   de   distribución   de   la   oferta  de Servicios  ambulatorios  de salud de  las  dos principales instituciones proveedoras, MSPAS, ISSS.  En El Salvador durante el 2001.  </w:t>
      </w:r>
    </w:p>
    <w:p w:rsidR="00081A52" w:rsidRDefault="00081A52">
      <w:pPr>
        <w:pStyle w:val="Textoindependiente"/>
        <w:spacing w:line="360" w:lineRule="auto"/>
        <w:rPr>
          <w:rFonts w:ascii="Times New Roman" w:hAnsi="Times New Roman"/>
          <w:b/>
          <w:bCs/>
          <w:sz w:val="24"/>
        </w:rPr>
      </w:pPr>
      <w:r>
        <w:rPr>
          <w:rFonts w:ascii="Times New Roman" w:hAnsi="Times New Roman"/>
          <w:b/>
          <w:bCs/>
          <w:sz w:val="24"/>
        </w:rPr>
        <w:t>Gráfico No.7</w:t>
      </w:r>
    </w:p>
    <w:p w:rsidR="00081A52" w:rsidRDefault="00342C74">
      <w:pPr>
        <w:pStyle w:val="Textoindependiente"/>
        <w:spacing w:line="360" w:lineRule="auto"/>
        <w:jc w:val="both"/>
        <w:rPr>
          <w:rFonts w:ascii="Times New Roman" w:hAnsi="Times New Roman"/>
          <w:b/>
          <w:bCs/>
          <w:sz w:val="24"/>
        </w:rPr>
      </w:pPr>
      <w:r>
        <w:rPr>
          <w:rFonts w:ascii="Times New Roman" w:hAnsi="Times New Roman"/>
          <w:b/>
          <w:noProof/>
          <w:sz w:val="24"/>
          <w:lang w:val="es-ES"/>
        </w:rPr>
        <w:drawing>
          <wp:anchor distT="0" distB="0" distL="114300" distR="114300" simplePos="0" relativeHeight="251620352" behindDoc="0" locked="0" layoutInCell="1" allowOverlap="1">
            <wp:simplePos x="0" y="0"/>
            <wp:positionH relativeFrom="column">
              <wp:posOffset>381000</wp:posOffset>
            </wp:positionH>
            <wp:positionV relativeFrom="paragraph">
              <wp:posOffset>198755</wp:posOffset>
            </wp:positionV>
            <wp:extent cx="4724400" cy="2567305"/>
            <wp:effectExtent l="19050" t="0" r="0"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9" cstate="print"/>
                    <a:srcRect l="4477" t="12035" r="2985"/>
                    <a:stretch>
                      <a:fillRect/>
                    </a:stretch>
                  </pic:blipFill>
                  <pic:spPr bwMode="auto">
                    <a:xfrm>
                      <a:off x="0" y="0"/>
                      <a:ext cx="4724400" cy="2567305"/>
                    </a:xfrm>
                    <a:prstGeom prst="rect">
                      <a:avLst/>
                    </a:prstGeom>
                    <a:noFill/>
                    <a:ln w="9525">
                      <a:noFill/>
                      <a:miter lim="800000"/>
                      <a:headEnd/>
                      <a:tailEnd/>
                    </a:ln>
                    <a:effectLst/>
                  </pic:spPr>
                </pic:pic>
              </a:graphicData>
            </a:graphic>
          </wp:anchor>
        </w:drawing>
      </w:r>
      <w:r w:rsidR="00081A52">
        <w:rPr>
          <w:rFonts w:ascii="Times New Roman" w:hAnsi="Times New Roman"/>
          <w:b/>
          <w:bCs/>
          <w:sz w:val="24"/>
        </w:rPr>
        <w:t>DISTRIBUCIÓN DE ESTABLECIMIENTOS AMBULATORIOS MSPAS/ISSS 2001</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noProof/>
          <w:sz w:val="20"/>
          <w:lang w:val="es-ES"/>
        </w:rPr>
        <w:pict>
          <v:shape id="_x0000_s1061" type="#_x0000_t202" style="position:absolute;left:0;text-align:left;margin-left:336pt;margin-top:-.55pt;width:76.5pt;height:27pt;z-index:251700224" filled="f" stroked="f">
            <v:textbox>
              <w:txbxContent>
                <w:p w:rsidR="00081A52" w:rsidRDefault="00081A52">
                  <w:pPr>
                    <w:rPr>
                      <w:sz w:val="18"/>
                    </w:rPr>
                  </w:pPr>
                  <w:r>
                    <w:rPr>
                      <w:sz w:val="18"/>
                    </w:rPr>
                    <w:t>GINI= 0829381</w:t>
                  </w:r>
                </w:p>
              </w:txbxContent>
            </v:textbox>
          </v:shape>
        </w:pict>
      </w:r>
    </w:p>
    <w:p w:rsidR="00081A52" w:rsidRDefault="00081A52">
      <w:pPr>
        <w:pStyle w:val="Textoindependiente"/>
        <w:tabs>
          <w:tab w:val="left" w:pos="6260"/>
        </w:tabs>
        <w:spacing w:line="360" w:lineRule="auto"/>
        <w:jc w:val="both"/>
        <w:rPr>
          <w:rFonts w:ascii="Times New Roman" w:hAnsi="Times New Roman"/>
          <w:sz w:val="24"/>
        </w:rPr>
      </w:pPr>
      <w:r>
        <w:rPr>
          <w:rFonts w:ascii="Times New Roman" w:hAnsi="Times New Roman"/>
          <w:sz w:val="24"/>
        </w:rPr>
        <w:tab/>
      </w:r>
    </w:p>
    <w:p w:rsidR="00081A52" w:rsidRDefault="00081A52">
      <w:pPr>
        <w:pStyle w:val="Textoindependiente"/>
        <w:spacing w:line="360" w:lineRule="auto"/>
        <w:jc w:val="both"/>
        <w:rPr>
          <w:rFonts w:ascii="Times New Roman" w:hAnsi="Times New Roman"/>
          <w:b/>
          <w:bCs/>
          <w:sz w:val="20"/>
        </w:rPr>
      </w:pPr>
    </w:p>
    <w:p w:rsidR="00081A52" w:rsidRDefault="00081A52">
      <w:pPr>
        <w:pStyle w:val="Textoindependiente"/>
        <w:spacing w:line="360" w:lineRule="auto"/>
        <w:jc w:val="right"/>
        <w:rPr>
          <w:rFonts w:ascii="Times New Roman" w:hAnsi="Times New Roman"/>
          <w:sz w:val="16"/>
        </w:rPr>
      </w:pPr>
    </w:p>
    <w:p w:rsidR="00081A52" w:rsidRDefault="00081A52">
      <w:pPr>
        <w:pStyle w:val="Textoindependiente"/>
        <w:spacing w:line="360" w:lineRule="auto"/>
        <w:jc w:val="right"/>
        <w:rPr>
          <w:rFonts w:ascii="Times New Roman" w:hAnsi="Times New Roman"/>
          <w:sz w:val="16"/>
        </w:rPr>
      </w:pPr>
      <w:r>
        <w:rPr>
          <w:rFonts w:ascii="Times New Roman" w:hAnsi="Times New Roman"/>
          <w:sz w:val="16"/>
        </w:rPr>
        <w:t>Gráfico y cálculo elaborado  por Lic. Samuel Hernández, DIGESTYC.</w:t>
      </w:r>
    </w:p>
    <w:p w:rsidR="00081A52" w:rsidRDefault="00081A52">
      <w:pPr>
        <w:pStyle w:val="Textoindependiente"/>
        <w:spacing w:line="360" w:lineRule="auto"/>
        <w:jc w:val="both"/>
        <w:rPr>
          <w:rFonts w:ascii="Times New Roman" w:hAnsi="Times New Roman"/>
          <w:sz w:val="24"/>
          <w:lang w:val="es-ES_tradnl"/>
        </w:rPr>
      </w:pPr>
      <w:r>
        <w:rPr>
          <w:rFonts w:ascii="Times New Roman" w:hAnsi="Times New Roman"/>
          <w:sz w:val="24"/>
        </w:rPr>
        <w:t xml:space="preserve">Dado que la curva  de  Lorens es una representación gráfica de la relación, para este caso de las proporciones acumuladas de la distribución </w:t>
      </w:r>
      <w:r>
        <w:rPr>
          <w:rFonts w:ascii="Times New Roman" w:hAnsi="Times New Roman"/>
          <w:sz w:val="24"/>
          <w:lang w:val="es-ES_tradnl"/>
        </w:rPr>
        <w:t xml:space="preserve"> de los establecimientos ambulatorios en los diferentes departamentos   del  país y </w:t>
      </w:r>
      <w:smartTag w:uri="urn:schemas-microsoft-com:office:smarttags" w:element="PersonName">
        <w:smartTagPr>
          <w:attr w:name="ProductID" w:val="la Proporciones"/>
        </w:smartTagPr>
        <w:r>
          <w:rPr>
            <w:rFonts w:ascii="Times New Roman" w:hAnsi="Times New Roman"/>
            <w:sz w:val="24"/>
            <w:lang w:val="es-ES_tradnl"/>
          </w:rPr>
          <w:t>la Proporciones</w:t>
        </w:r>
      </w:smartTag>
      <w:r>
        <w:rPr>
          <w:rFonts w:ascii="Times New Roman" w:hAnsi="Times New Roman"/>
          <w:sz w:val="24"/>
          <w:lang w:val="es-ES_tradnl"/>
        </w:rPr>
        <w:t xml:space="preserve"> acumuladas de población. Como se puede apreciar en el gráfico, la línea roja divide en dos partes iguales el cuadrado, dicha diagonal corresponde a lo que Lorens definió como </w:t>
      </w:r>
      <w:r>
        <w:rPr>
          <w:rFonts w:ascii="Times New Roman" w:hAnsi="Times New Roman"/>
          <w:b/>
          <w:sz w:val="24"/>
          <w:lang w:val="es-ES_tradnl"/>
        </w:rPr>
        <w:t xml:space="preserve">La línea de Equidad Perfecta </w:t>
      </w:r>
      <w:r>
        <w:rPr>
          <w:rFonts w:ascii="Times New Roman" w:hAnsi="Times New Roman"/>
          <w:sz w:val="24"/>
          <w:lang w:val="es-ES_tradnl"/>
        </w:rPr>
        <w:t>y denota por ende ausencia de desigualdad.</w:t>
      </w:r>
    </w:p>
    <w:p w:rsidR="00081A52" w:rsidRDefault="00081A52">
      <w:pPr>
        <w:pStyle w:val="Textoindependiente"/>
        <w:spacing w:line="360" w:lineRule="auto"/>
        <w:jc w:val="both"/>
        <w:rPr>
          <w:rFonts w:ascii="Times New Roman" w:hAnsi="Times New Roman"/>
          <w:sz w:val="24"/>
          <w:lang w:val="es-ES_tradnl"/>
        </w:rPr>
      </w:pPr>
    </w:p>
    <w:p w:rsidR="00081A52" w:rsidRDefault="00081A52">
      <w:pPr>
        <w:pStyle w:val="Textoindependiente"/>
        <w:spacing w:line="360" w:lineRule="auto"/>
        <w:jc w:val="both"/>
        <w:rPr>
          <w:rFonts w:ascii="Times New Roman" w:hAnsi="Times New Roman"/>
          <w:b/>
          <w:sz w:val="24"/>
        </w:rPr>
      </w:pPr>
      <w:r>
        <w:rPr>
          <w:rFonts w:ascii="Times New Roman" w:hAnsi="Times New Roman"/>
          <w:sz w:val="24"/>
          <w:lang w:val="es-ES_tradnl"/>
        </w:rPr>
        <w:t xml:space="preserve">Se observa claramente como se comportan las proporciones acumuladas con relación a la  línea de </w:t>
      </w:r>
      <w:smartTag w:uri="urn:schemas-microsoft-com:office:smarttags" w:element="PersonName">
        <w:smartTagPr>
          <w:attr w:name="ProductID" w:val="la Equidad. El"/>
        </w:smartTagPr>
        <w:r>
          <w:rPr>
            <w:rFonts w:ascii="Times New Roman" w:hAnsi="Times New Roman"/>
            <w:sz w:val="24"/>
            <w:lang w:val="es-ES_tradnl"/>
          </w:rPr>
          <w:t>la Equidad. El</w:t>
        </w:r>
      </w:smartTag>
      <w:r>
        <w:rPr>
          <w:rFonts w:ascii="Times New Roman" w:hAnsi="Times New Roman"/>
          <w:sz w:val="24"/>
          <w:lang w:val="es-ES_tradnl"/>
        </w:rPr>
        <w:t xml:space="preserve">  Coeficiente de Gini </w:t>
      </w:r>
      <w:r>
        <w:rPr>
          <w:rFonts w:ascii="Times New Roman" w:hAnsi="Times New Roman"/>
          <w:b/>
          <w:sz w:val="24"/>
          <w:lang w:val="es-ES_tradnl"/>
        </w:rPr>
        <w:t xml:space="preserve"> </w:t>
      </w:r>
      <w:r>
        <w:rPr>
          <w:rFonts w:ascii="Times New Roman" w:hAnsi="Times New Roman"/>
          <w:sz w:val="24"/>
          <w:lang w:val="es-ES_tradnl"/>
        </w:rPr>
        <w:t xml:space="preserve">toma valores entre cero y uno, mientras más alejada esta la curva de Lorens de la línea de equidad perfecta, mayor es la desigualdad y el Coeficiente de Gini es mayor; Se va acercando a uno. En este caso  alcanza  el </w:t>
      </w:r>
      <w:r>
        <w:rPr>
          <w:rFonts w:ascii="Times New Roman" w:hAnsi="Times New Roman"/>
          <w:b/>
          <w:sz w:val="24"/>
          <w:lang w:val="es-ES_tradnl"/>
        </w:rPr>
        <w:t>0.829381</w:t>
      </w:r>
      <w:r>
        <w:rPr>
          <w:rFonts w:ascii="Times New Roman" w:hAnsi="Times New Roman"/>
          <w:sz w:val="24"/>
          <w:lang w:val="es-ES_tradnl"/>
        </w:rPr>
        <w:t xml:space="preserve">, </w:t>
      </w:r>
      <w:r>
        <w:rPr>
          <w:rFonts w:ascii="Times New Roman" w:hAnsi="Times New Roman"/>
          <w:b/>
          <w:sz w:val="24"/>
          <w:lang w:val="es-ES_tradnl"/>
        </w:rPr>
        <w:t>lo cual  indica un alto nivel de Inequidad en la distribución de los servicios públicos de salud, en este caso particular servicios ambulatorios.</w:t>
      </w:r>
      <w:r>
        <w:rPr>
          <w:rFonts w:ascii="Times New Roman" w:hAnsi="Times New Roman"/>
          <w:b/>
          <w:sz w:val="24"/>
        </w:rPr>
        <w:t xml:space="preserve">      </w:t>
      </w:r>
    </w:p>
    <w:p w:rsidR="00081A52" w:rsidRDefault="00081A52">
      <w:pPr>
        <w:pStyle w:val="Textoindependiente"/>
        <w:spacing w:line="360" w:lineRule="auto"/>
        <w:jc w:val="both"/>
        <w:rPr>
          <w:rFonts w:ascii="Times New Roman" w:hAnsi="Times New Roman"/>
          <w:b/>
          <w:sz w:val="24"/>
        </w:rPr>
      </w:pPr>
      <w:r>
        <w:rPr>
          <w:rFonts w:ascii="Times New Roman" w:hAnsi="Times New Roman"/>
          <w:b/>
          <w:sz w:val="24"/>
        </w:rPr>
        <w:t xml:space="preserve">                 </w:t>
      </w:r>
    </w:p>
    <w:p w:rsidR="00081A52" w:rsidRDefault="00081A52">
      <w:pPr>
        <w:pStyle w:val="Textoindependiente"/>
        <w:numPr>
          <w:ilvl w:val="0"/>
          <w:numId w:val="2"/>
        </w:numPr>
        <w:spacing w:line="360" w:lineRule="auto"/>
        <w:jc w:val="both"/>
        <w:rPr>
          <w:rFonts w:ascii="Times New Roman" w:hAnsi="Times New Roman"/>
          <w:b/>
          <w:sz w:val="24"/>
        </w:rPr>
      </w:pPr>
      <w:r>
        <w:rPr>
          <w:rFonts w:ascii="Times New Roman" w:hAnsi="Times New Roman"/>
          <w:b/>
          <w:sz w:val="24"/>
        </w:rPr>
        <w:t>Inequidad en la distribución de los servicios Hospitalarios de salud  MSPAS / ISSS-2001;</w:t>
      </w:r>
    </w:p>
    <w:p w:rsidR="00081A52" w:rsidRDefault="00081A52">
      <w:pPr>
        <w:pStyle w:val="Textoindependiente"/>
        <w:spacing w:line="360" w:lineRule="auto"/>
        <w:jc w:val="both"/>
        <w:outlineLvl w:val="0"/>
        <w:rPr>
          <w:rFonts w:ascii="Times New Roman" w:hAnsi="Times New Roman"/>
          <w:sz w:val="24"/>
        </w:rPr>
      </w:pPr>
      <w:r>
        <w:rPr>
          <w:rFonts w:ascii="Times New Roman" w:hAnsi="Times New Roman"/>
          <w:sz w:val="24"/>
        </w:rPr>
        <w:t>En   forma   similar  al   caso  anterior  esta gráfica   representa    la    distribución    de</w:t>
      </w: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las   proporciones   acumuladas   de  ofertas de  servicios públicos de salud  y población</w:t>
      </w: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con   la   diferencia   que   en  este  caso  se refiere a servicios Hospitalarios.</w:t>
      </w:r>
    </w:p>
    <w:p w:rsidR="00081A52" w:rsidRDefault="00081A52">
      <w:pPr>
        <w:pStyle w:val="Textoindependiente"/>
        <w:spacing w:line="360" w:lineRule="auto"/>
        <w:jc w:val="both"/>
        <w:rPr>
          <w:rFonts w:ascii="Times New Roman" w:hAnsi="Times New Roman"/>
          <w:b/>
          <w:bCs/>
          <w:sz w:val="24"/>
        </w:rPr>
      </w:pPr>
    </w:p>
    <w:p w:rsidR="00081A52" w:rsidRDefault="00081A52">
      <w:pPr>
        <w:pStyle w:val="Textoindependiente"/>
        <w:spacing w:line="360" w:lineRule="auto"/>
        <w:rPr>
          <w:rFonts w:ascii="Times New Roman" w:hAnsi="Times New Roman"/>
          <w:b/>
          <w:bCs/>
          <w:sz w:val="24"/>
        </w:rPr>
      </w:pPr>
      <w:r>
        <w:rPr>
          <w:rFonts w:ascii="Times New Roman" w:hAnsi="Times New Roman"/>
          <w:b/>
          <w:bCs/>
          <w:sz w:val="24"/>
        </w:rPr>
        <w:t>Gráfico No.8</w:t>
      </w:r>
    </w:p>
    <w:p w:rsidR="00081A52" w:rsidRDefault="00081A52">
      <w:pPr>
        <w:pStyle w:val="Textoindependiente"/>
        <w:spacing w:line="360" w:lineRule="auto"/>
        <w:jc w:val="both"/>
        <w:rPr>
          <w:rFonts w:ascii="Times New Roman" w:hAnsi="Times New Roman"/>
          <w:b/>
          <w:bCs/>
          <w:sz w:val="24"/>
        </w:rPr>
      </w:pPr>
      <w:r>
        <w:rPr>
          <w:rFonts w:ascii="Times New Roman" w:hAnsi="Times New Roman"/>
          <w:b/>
          <w:bCs/>
          <w:sz w:val="24"/>
        </w:rPr>
        <w:t>DISTRIBUCIÓN DE LOS HOSPITALES 2001</w:t>
      </w:r>
    </w:p>
    <w:p w:rsidR="00081A52" w:rsidRDefault="00342C74">
      <w:pPr>
        <w:pStyle w:val="Textoindependiente"/>
        <w:spacing w:line="360" w:lineRule="auto"/>
        <w:jc w:val="both"/>
        <w:rPr>
          <w:rFonts w:ascii="Times New Roman" w:hAnsi="Times New Roman"/>
          <w:sz w:val="24"/>
        </w:rPr>
      </w:pPr>
      <w:r>
        <w:rPr>
          <w:rFonts w:ascii="Times New Roman" w:hAnsi="Times New Roman"/>
          <w:b/>
          <w:noProof/>
          <w:sz w:val="24"/>
          <w:lang w:val="es-ES"/>
        </w:rPr>
        <w:drawing>
          <wp:anchor distT="0" distB="0" distL="114300" distR="114300" simplePos="0" relativeHeight="251621376" behindDoc="1" locked="0" layoutInCell="1" allowOverlap="1">
            <wp:simplePos x="0" y="0"/>
            <wp:positionH relativeFrom="column">
              <wp:posOffset>304800</wp:posOffset>
            </wp:positionH>
            <wp:positionV relativeFrom="paragraph">
              <wp:posOffset>23495</wp:posOffset>
            </wp:positionV>
            <wp:extent cx="4876800" cy="2708910"/>
            <wp:effectExtent l="19050" t="0" r="0" b="0"/>
            <wp:wrapTight wrapText="bothSides">
              <wp:wrapPolygon edited="0">
                <wp:start x="-84" y="0"/>
                <wp:lineTo x="-84" y="21114"/>
                <wp:lineTo x="21600" y="21114"/>
                <wp:lineTo x="21600" y="0"/>
                <wp:lineTo x="-84" y="0"/>
              </wp:wrapPolygon>
            </wp:wrapTight>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0" cstate="print"/>
                    <a:srcRect l="2589" t="10959" r="2815"/>
                    <a:stretch>
                      <a:fillRect/>
                    </a:stretch>
                  </pic:blipFill>
                  <pic:spPr bwMode="auto">
                    <a:xfrm>
                      <a:off x="0" y="0"/>
                      <a:ext cx="4876800" cy="2708910"/>
                    </a:xfrm>
                    <a:prstGeom prst="rect">
                      <a:avLst/>
                    </a:prstGeom>
                    <a:noFill/>
                    <a:ln w="9525">
                      <a:noFill/>
                      <a:miter lim="800000"/>
                      <a:headEnd/>
                      <a:tailEnd/>
                    </a:ln>
                    <a:effectLst/>
                  </pic:spPr>
                </pic:pic>
              </a:graphicData>
            </a:graphic>
          </wp:anchor>
        </w:drawing>
      </w:r>
      <w:r w:rsidR="00081A52">
        <w:rPr>
          <w:rFonts w:ascii="Times New Roman" w:hAnsi="Times New Roman"/>
          <w:sz w:val="24"/>
        </w:rPr>
        <w:t xml:space="preserve">                                      </w:t>
      </w: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noProof/>
          <w:sz w:val="20"/>
          <w:lang w:val="es-ES"/>
        </w:rPr>
        <w:pict>
          <v:shape id="_x0000_s1062" type="#_x0000_t202" style="position:absolute;left:0;text-align:left;margin-left:402pt;margin-top:18.95pt;width:87.9pt;height:27pt;z-index:251701248" filled="f" stroked="f">
            <v:textbox>
              <w:txbxContent>
                <w:p w:rsidR="00081A52" w:rsidRDefault="00081A52">
                  <w:pPr>
                    <w:rPr>
                      <w:sz w:val="18"/>
                    </w:rPr>
                  </w:pPr>
                  <w:r>
                    <w:rPr>
                      <w:sz w:val="18"/>
                      <w:lang w:val="es-ES_tradnl"/>
                    </w:rPr>
                    <w:t>Gini = 0.8931808</w:t>
                  </w:r>
                </w:p>
              </w:txbxContent>
            </v:textbox>
          </v:shape>
        </w:pic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0"/>
        </w:rPr>
      </w:pPr>
    </w:p>
    <w:p w:rsidR="00081A52" w:rsidRDefault="00081A52">
      <w:pPr>
        <w:pStyle w:val="Textoindependiente"/>
        <w:spacing w:line="360" w:lineRule="auto"/>
        <w:jc w:val="right"/>
        <w:rPr>
          <w:rFonts w:ascii="Times New Roman" w:hAnsi="Times New Roman"/>
          <w:sz w:val="16"/>
        </w:rPr>
      </w:pPr>
    </w:p>
    <w:p w:rsidR="00081A52" w:rsidRDefault="00081A52">
      <w:pPr>
        <w:pStyle w:val="Textoindependiente"/>
        <w:spacing w:line="360" w:lineRule="auto"/>
        <w:jc w:val="right"/>
        <w:rPr>
          <w:rFonts w:ascii="Times New Roman" w:hAnsi="Times New Roman"/>
          <w:sz w:val="16"/>
        </w:rPr>
      </w:pPr>
      <w:r>
        <w:rPr>
          <w:rFonts w:ascii="Times New Roman" w:hAnsi="Times New Roman"/>
          <w:sz w:val="16"/>
        </w:rPr>
        <w:t>Gráfico y cálculo elaborado por  Lic. Samuel Hernández, DIGESTYC.</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b/>
          <w:sz w:val="24"/>
        </w:rPr>
      </w:pPr>
      <w:r>
        <w:rPr>
          <w:rFonts w:ascii="Times New Roman" w:hAnsi="Times New Roman"/>
          <w:sz w:val="24"/>
        </w:rPr>
        <w:t xml:space="preserve">Se   observa     como    las     proporciones acumuladas se alejan de la línea de Equidad perfecta y el Gini obtenido alcanza un valor de </w:t>
      </w:r>
      <w:r>
        <w:rPr>
          <w:rFonts w:ascii="Times New Roman" w:hAnsi="Times New Roman"/>
          <w:b/>
          <w:sz w:val="24"/>
        </w:rPr>
        <w:t>0.8931808</w:t>
      </w:r>
      <w:r>
        <w:rPr>
          <w:rFonts w:ascii="Times New Roman" w:hAnsi="Times New Roman"/>
          <w:sz w:val="24"/>
        </w:rPr>
        <w:t xml:space="preserve">, que </w:t>
      </w:r>
      <w:r>
        <w:rPr>
          <w:rFonts w:ascii="Times New Roman" w:hAnsi="Times New Roman"/>
          <w:sz w:val="24"/>
          <w:lang w:val="es-ES_tradnl"/>
        </w:rPr>
        <w:t xml:space="preserve">índica un alto nivel de Inequidad en la distribución de los servicios públicos de salud, en este caso particular los </w:t>
      </w:r>
      <w:r>
        <w:rPr>
          <w:rFonts w:ascii="Times New Roman" w:hAnsi="Times New Roman"/>
          <w:sz w:val="24"/>
          <w:lang w:val="es-ES_tradnl"/>
        </w:rPr>
        <w:lastRenderedPageBreak/>
        <w:t>servicios Hospitalarios, se aprecian a simple vista y se observa que los establecimientos están ubicados en las grandes ciudades urbanas y especialmente en el área metropolitana del gran  San Salvador.</w:t>
      </w:r>
      <w:r>
        <w:rPr>
          <w:rFonts w:ascii="Times New Roman" w:hAnsi="Times New Roman"/>
          <w:b/>
          <w:sz w:val="24"/>
        </w:rPr>
        <w:t xml:space="preserve"> </w:t>
      </w:r>
      <w:r>
        <w:rPr>
          <w:rFonts w:ascii="Times New Roman" w:hAnsi="Times New Roman"/>
          <w:b/>
          <w:sz w:val="24"/>
          <w:lang w:val="es-ES_tradnl"/>
        </w:rPr>
        <w:t>Lo cual  indica el alto nivel de Inequidad en la disponibilidad  de los servicios públicos de salud, en este caso particular servicios hospitalarios.</w:t>
      </w:r>
      <w:r>
        <w:rPr>
          <w:rFonts w:ascii="Times New Roman" w:hAnsi="Times New Roman"/>
          <w:b/>
          <w:sz w:val="24"/>
        </w:rPr>
        <w:t xml:space="preserve">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Con  relación al objetivo 2.2. Caracterizar las condiciones de Equidad en la utilización de los servicios de salud en El Salvador, relacionadas con el nivel de ingreso familiar, género y procedencia de los y las usuarias (urbano y rural), se analizó el indicador número 3, el cual se presenta a continuación.  </w:t>
      </w:r>
    </w:p>
    <w:p w:rsidR="00081A52" w:rsidRDefault="00081A52">
      <w:pPr>
        <w:pStyle w:val="Textoindependiente"/>
        <w:spacing w:line="360" w:lineRule="auto"/>
        <w:rPr>
          <w:rFonts w:ascii="Times New Roman" w:hAnsi="Times New Roman"/>
          <w:b/>
          <w:sz w:val="24"/>
        </w:rPr>
      </w:pPr>
      <w:r>
        <w:rPr>
          <w:rFonts w:ascii="Times New Roman" w:hAnsi="Times New Roman"/>
          <w:b/>
          <w:sz w:val="24"/>
        </w:rPr>
        <w:t>Gráfico No.9</w:t>
      </w:r>
    </w:p>
    <w:p w:rsidR="00081A52" w:rsidRDefault="00342C74">
      <w:pPr>
        <w:pStyle w:val="Textoindependiente"/>
        <w:spacing w:line="360" w:lineRule="auto"/>
        <w:jc w:val="both"/>
        <w:rPr>
          <w:rFonts w:ascii="Times New Roman" w:hAnsi="Times New Roman"/>
          <w:sz w:val="24"/>
        </w:rPr>
      </w:pPr>
      <w:r>
        <w:rPr>
          <w:rFonts w:ascii="Times New Roman" w:hAnsi="Times New Roman"/>
          <w:b/>
          <w:noProof/>
          <w:sz w:val="22"/>
          <w:lang w:val="es-ES"/>
        </w:rPr>
        <w:drawing>
          <wp:anchor distT="0" distB="0" distL="114300" distR="114300" simplePos="0" relativeHeight="251622400" behindDoc="0" locked="0" layoutInCell="1" allowOverlap="1">
            <wp:simplePos x="0" y="0"/>
            <wp:positionH relativeFrom="column">
              <wp:posOffset>285750</wp:posOffset>
            </wp:positionH>
            <wp:positionV relativeFrom="paragraph">
              <wp:posOffset>506730</wp:posOffset>
            </wp:positionV>
            <wp:extent cx="5353685" cy="1750060"/>
            <wp:effectExtent l="0" t="1905" r="0" b="635"/>
            <wp:wrapTopAndBottom/>
            <wp:docPr id="29" name="Objeto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081A52">
        <w:rPr>
          <w:rFonts w:ascii="Times New Roman" w:hAnsi="Times New Roman"/>
          <w:b/>
          <w:sz w:val="22"/>
        </w:rPr>
        <w:t xml:space="preserve">UTILIZACIÓN DE LOS SERVICIOS DE SALUD SEGÚN NIVEL DE INGRESO PER CÁPITA SEGÚN SUBSECTOR; </w:t>
      </w:r>
      <w:r w:rsidR="00081A52">
        <w:rPr>
          <w:rFonts w:ascii="Times New Roman" w:hAnsi="Times New Roman"/>
          <w:b/>
          <w:sz w:val="24"/>
        </w:rPr>
        <w:t>MSPAS, ISSS, PRIVADO, OTROS. 2001</w:t>
      </w:r>
    </w:p>
    <w:p w:rsidR="00081A52" w:rsidRDefault="00081A52">
      <w:pPr>
        <w:pStyle w:val="Textoindependiente"/>
        <w:spacing w:line="360" w:lineRule="auto"/>
        <w:jc w:val="right"/>
        <w:rPr>
          <w:rFonts w:ascii="Times New Roman" w:hAnsi="Times New Roman"/>
          <w:sz w:val="16"/>
        </w:rPr>
      </w:pPr>
      <w:r>
        <w:rPr>
          <w:rFonts w:ascii="Times New Roman" w:hAnsi="Times New Roman"/>
          <w:b/>
          <w:sz w:val="16"/>
        </w:rPr>
        <w:t>Fuente: EHPM-2001</w:t>
      </w:r>
    </w:p>
    <w:p w:rsidR="00081A52" w:rsidRDefault="00081A52">
      <w:pPr>
        <w:pStyle w:val="Textoindependiente"/>
        <w:spacing w:line="360" w:lineRule="auto"/>
        <w:jc w:val="right"/>
        <w:outlineLvl w:val="0"/>
        <w:rPr>
          <w:rFonts w:ascii="Times New Roman" w:hAnsi="Times New Roman"/>
          <w:sz w:val="16"/>
        </w:rPr>
      </w:pPr>
      <w:r>
        <w:rPr>
          <w:rFonts w:ascii="Times New Roman" w:hAnsi="Times New Roman"/>
          <w:sz w:val="16"/>
        </w:rPr>
        <w:t>Gráfico y cálculo elaborado por  Lic. Samuel Hernández, DIGESTYC</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Esta gráfica muestra la utilización que las personas hacen de los servicios de salud en las diferentes instituciones del sector salud; Según nivel de ingreso.  Puede apreciarse que los servicios del Ministerio de Salud son utilizados por personas que están ubicadas en todos los deciles de ingreso económico, incluso en aquellos que corresponden a niveles de ingreso mayor. Otro elemento importante que se  aprecia  es con relación a la utilización de los servicios privados, puede observase  que estos son utilizados por personas de todos los deciles, aun de los de menor ingreso, lo que hace reflexionar es como estas personas hacen para responder  al gasto que implica dicha utilización de servicios privados o que necesidades prioritarias dejan de cubrir para resolver el gasto de salud y como esto afecta a su economía familiar. Por otro lado la utilización de los servicios del MSPAS por personas </w:t>
      </w:r>
      <w:r>
        <w:rPr>
          <w:rFonts w:ascii="Times New Roman" w:hAnsi="Times New Roman"/>
          <w:sz w:val="24"/>
        </w:rPr>
        <w:lastRenderedPageBreak/>
        <w:t>de todos los ingresos económicos  y que hay más personas de ingresos económicos superiores que están utilizando los servicios del MSPAS, restando probablemente la oportunidad  de atención a personas de los deciles de menores ingresos o en condición de pobreza</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Con relación al objetivo 2.3. Caracterizar las condiciones de Equidad relacionadas con  el gasto de bolsillo en salud que las familias realizan;  según nivel de ingreso, procedencia Urbana y Rural y Género, se analizaron los indicadores 4,5,6 y 7, lo cuales tratan de mostrar el comportamiento del gasto de bolsillo en salud que las personas realizan según su nivel de ingreso económico, procedencia urbano y rural, genero y  según rubros prioritarios de gasto y la relación del gasto en  las familias de los deciles mas pobres con relación a las familias de los deciles mas ricos.</w:t>
      </w:r>
    </w:p>
    <w:p w:rsidR="00081A52" w:rsidRDefault="00081A52">
      <w:pPr>
        <w:pStyle w:val="Textoindependiente"/>
        <w:spacing w:line="360" w:lineRule="auto"/>
        <w:rPr>
          <w:rFonts w:ascii="Times New Roman" w:hAnsi="Times New Roman"/>
          <w:b/>
          <w:sz w:val="24"/>
        </w:rPr>
      </w:pPr>
      <w:r>
        <w:rPr>
          <w:rFonts w:ascii="Times New Roman" w:hAnsi="Times New Roman"/>
          <w:b/>
          <w:sz w:val="24"/>
        </w:rPr>
        <w:t>Gráfico No.10</w:t>
      </w:r>
    </w:p>
    <w:p w:rsidR="00081A52" w:rsidRDefault="00342C74">
      <w:pPr>
        <w:pStyle w:val="Textoindependiente"/>
        <w:spacing w:line="360" w:lineRule="auto"/>
        <w:jc w:val="both"/>
        <w:rPr>
          <w:rFonts w:ascii="Times New Roman" w:hAnsi="Times New Roman"/>
          <w:b/>
          <w:sz w:val="24"/>
        </w:rPr>
      </w:pPr>
      <w:r>
        <w:rPr>
          <w:rFonts w:ascii="Times New Roman" w:hAnsi="Times New Roman"/>
          <w:b/>
          <w:noProof/>
          <w:sz w:val="24"/>
          <w:lang w:val="es-ES"/>
        </w:rPr>
        <w:drawing>
          <wp:anchor distT="0" distB="0" distL="114300" distR="114300" simplePos="0" relativeHeight="251625472" behindDoc="0" locked="0" layoutInCell="1" allowOverlap="1">
            <wp:simplePos x="0" y="0"/>
            <wp:positionH relativeFrom="column">
              <wp:posOffset>-457200</wp:posOffset>
            </wp:positionH>
            <wp:positionV relativeFrom="paragraph">
              <wp:posOffset>594360</wp:posOffset>
            </wp:positionV>
            <wp:extent cx="6172200" cy="2147570"/>
            <wp:effectExtent l="0" t="0" r="0" b="1270"/>
            <wp:wrapTopAndBottom/>
            <wp:docPr id="34" name="Objeto 3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00081A52">
        <w:rPr>
          <w:rFonts w:ascii="Times New Roman" w:hAnsi="Times New Roman"/>
          <w:b/>
          <w:sz w:val="24"/>
        </w:rPr>
        <w:t>GASTO EN SALUD SEGÚN NIVEL DE INGRESO ECONÓMICO Y PROCEDENCIA  URBANO Y RURAL-2001</w:t>
      </w:r>
    </w:p>
    <w:p w:rsidR="00081A52" w:rsidRDefault="00081A52">
      <w:pPr>
        <w:pStyle w:val="Textoindependiente"/>
        <w:spacing w:line="360" w:lineRule="auto"/>
        <w:jc w:val="right"/>
        <w:outlineLvl w:val="0"/>
        <w:rPr>
          <w:rFonts w:ascii="Times New Roman" w:hAnsi="Times New Roman"/>
          <w:b/>
          <w:sz w:val="16"/>
        </w:rPr>
      </w:pPr>
      <w:r>
        <w:rPr>
          <w:rFonts w:ascii="Times New Roman" w:hAnsi="Times New Roman"/>
          <w:b/>
          <w:sz w:val="16"/>
        </w:rPr>
        <w:t>Fuente: EHPM-2001</w:t>
      </w:r>
    </w:p>
    <w:p w:rsidR="00081A52" w:rsidRDefault="00081A52">
      <w:pPr>
        <w:pStyle w:val="Textoindependiente"/>
        <w:spacing w:line="360" w:lineRule="auto"/>
        <w:jc w:val="right"/>
        <w:outlineLvl w:val="0"/>
        <w:rPr>
          <w:rFonts w:ascii="Times New Roman" w:hAnsi="Times New Roman"/>
          <w:b/>
          <w:sz w:val="16"/>
        </w:rPr>
      </w:pPr>
      <w:r>
        <w:rPr>
          <w:rFonts w:ascii="Times New Roman" w:hAnsi="Times New Roman"/>
          <w:b/>
          <w:sz w:val="16"/>
        </w:rPr>
        <w:t>Gráfico y cálculo elaborado por  Lic. Samuel Hernández, DIGESTYC</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En este grafico se  puede observar  como se comporta el gasto en salud y el coeficiente de desigualdad según el nivel de ingreso y procedencia urbana o rural de las familias. Se puede advertir  que los hogares rurales presentan mayor gasto en salud que los urbanos, especialmente en los deciles de menor ingreso (primeros cinco deciles), se puede ver que el Coeficiente de desigualdad  es mayor en los primeros cinco deciles de ingreso.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Por el contrario las familias urbanas reportan más gasto en salud a medida aumenta su nivel de ingreso, es decir su poder adquisitivo. Los pobladores de hogares rurales, con menores ingresos económicos están en mayor desventaja  que los hogares urbanos, ante cualquier episodio de enfermedad que enfrentan.</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El Coeficiente de desigualdad, es mayor en los deciles de menor ingreso,                                                                         especialmente del I al V y  se va estabilizando a partir del VI decil, hasta llegar a su menor valor en el decil X es decir el decil de mayor ingreso.</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b/>
          <w:sz w:val="24"/>
        </w:rPr>
        <w:t xml:space="preserve">Lo anterior denota que los hogares rurales, con ingresos más bajos están en mayor desventaja que los urbanos, incluso de su mismo decil para hacer frente ante cualquier episodio de   enfermedad que enfrenten. </w:t>
      </w:r>
      <w:r>
        <w:rPr>
          <w:rFonts w:ascii="Times New Roman" w:hAnsi="Times New Roman"/>
          <w:sz w:val="24"/>
        </w:rPr>
        <w:t xml:space="preserve">Contrasta esto con el análisis de los indicadores 1 y 2 del presente estudio que muestra la distribución de los servicios ambulatorios y hospitalarios de las principales instituciones de salud del sector, donde se pudo observar la concentración de la oferta de servicios ambulatorios de salud en áreas urbanas  y la oferta de servicios hospitalarios concentrada en las grandes ciudades urbanas y más aun en el gran San Salvador.  Siempre con relación al Coeficiente de desigualdad en el gasto en salud  de las familias rurales con relación a las del área urbana, podemos apreciar  las desigualdades ejemplo para el decil de más bajo ingreso, paradójicamente tiene el Coeficiente de desigualdad más alto, su valor es 3.22;  </w:t>
      </w:r>
      <w:r>
        <w:rPr>
          <w:rFonts w:ascii="Times New Roman" w:hAnsi="Times New Roman"/>
          <w:b/>
          <w:sz w:val="24"/>
        </w:rPr>
        <w:t>Lo que indica que por cada persona del área urbana que reporta gasto en salud  hay 3.22 personas del área rural y del mismo decil de ingreso  que también reportan gasto.</w:t>
      </w:r>
      <w:r>
        <w:rPr>
          <w:rFonts w:ascii="Times New Roman" w:hAnsi="Times New Roman"/>
          <w:sz w:val="24"/>
        </w:rPr>
        <w:t xml:space="preserve"> Y así sucesivamente 1.89, 1.06, hasta el  decil V.  A partir del decil VI  en adelante el Coeficiente de desigualdad va disminuyendo hasta llegar al valor mínimo  que es 0.09 en el decil X que es el de mayor ingreso.</w:t>
      </w:r>
    </w:p>
    <w:p w:rsidR="00081A52" w:rsidRDefault="00081A52">
      <w:pPr>
        <w:pStyle w:val="Textoindependiente"/>
        <w:spacing w:line="360" w:lineRule="auto"/>
        <w:rPr>
          <w:rFonts w:ascii="Times New Roman" w:hAnsi="Times New Roman"/>
          <w:b/>
          <w:sz w:val="24"/>
        </w:rPr>
      </w:pPr>
      <w:r>
        <w:rPr>
          <w:rFonts w:ascii="Times New Roman" w:hAnsi="Times New Roman"/>
          <w:b/>
          <w:sz w:val="24"/>
        </w:rPr>
        <w:br w:type="page"/>
      </w:r>
      <w:r>
        <w:rPr>
          <w:rFonts w:ascii="Times New Roman" w:hAnsi="Times New Roman"/>
          <w:b/>
          <w:sz w:val="24"/>
        </w:rPr>
        <w:lastRenderedPageBreak/>
        <w:t>Gráfico No.11</w:t>
      </w:r>
    </w:p>
    <w:p w:rsidR="00081A52" w:rsidRDefault="00081A52">
      <w:pPr>
        <w:pStyle w:val="Textoindependiente"/>
        <w:spacing w:line="360" w:lineRule="auto"/>
        <w:rPr>
          <w:rFonts w:ascii="Times New Roman" w:hAnsi="Times New Roman"/>
          <w:b/>
          <w:sz w:val="24"/>
        </w:rPr>
      </w:pPr>
      <w:r>
        <w:rPr>
          <w:rFonts w:ascii="Times New Roman" w:hAnsi="Times New Roman"/>
          <w:b/>
          <w:sz w:val="24"/>
        </w:rPr>
        <w:t xml:space="preserve">DISTRIBUCIÓN DEL GASTO EN SALUD SEGÚN RUBROS PRIORITARIOS Y </w:t>
      </w:r>
      <w:r w:rsidR="00342C74">
        <w:rPr>
          <w:rFonts w:ascii="Times New Roman" w:hAnsi="Times New Roman"/>
          <w:b/>
          <w:noProof/>
          <w:sz w:val="20"/>
          <w:lang w:val="es-ES"/>
        </w:rPr>
        <w:drawing>
          <wp:anchor distT="0" distB="0" distL="114300" distR="114300" simplePos="0" relativeHeight="251623424" behindDoc="0" locked="0" layoutInCell="1" allowOverlap="1">
            <wp:simplePos x="0" y="0"/>
            <wp:positionH relativeFrom="column">
              <wp:posOffset>76200</wp:posOffset>
            </wp:positionH>
            <wp:positionV relativeFrom="paragraph">
              <wp:posOffset>571500</wp:posOffset>
            </wp:positionV>
            <wp:extent cx="5598795" cy="2378075"/>
            <wp:effectExtent l="0" t="0" r="1905" b="3175"/>
            <wp:wrapTopAndBottom/>
            <wp:docPr id="31" name="Objeto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Pr>
          <w:rFonts w:ascii="Times New Roman" w:hAnsi="Times New Roman"/>
          <w:b/>
          <w:sz w:val="24"/>
        </w:rPr>
        <w:t>NIVEL DE INGRESO FAMILIAR 2001</w:t>
      </w:r>
    </w:p>
    <w:p w:rsidR="00081A52" w:rsidRDefault="00081A52">
      <w:pPr>
        <w:pStyle w:val="Textoindependiente"/>
        <w:spacing w:line="360" w:lineRule="auto"/>
        <w:jc w:val="right"/>
        <w:outlineLvl w:val="0"/>
        <w:rPr>
          <w:rFonts w:ascii="Times New Roman" w:hAnsi="Times New Roman"/>
          <w:b/>
          <w:sz w:val="16"/>
        </w:rPr>
      </w:pPr>
      <w:r>
        <w:rPr>
          <w:rFonts w:ascii="Times New Roman" w:hAnsi="Times New Roman"/>
          <w:b/>
          <w:sz w:val="16"/>
        </w:rPr>
        <w:t xml:space="preserve">Fuente: EHPM-2001 </w:t>
      </w:r>
    </w:p>
    <w:p w:rsidR="00081A52" w:rsidRDefault="00081A52">
      <w:pPr>
        <w:pStyle w:val="Textoindependiente"/>
        <w:spacing w:line="360" w:lineRule="auto"/>
        <w:jc w:val="right"/>
        <w:rPr>
          <w:rFonts w:ascii="Times New Roman" w:hAnsi="Times New Roman"/>
          <w:b/>
          <w:sz w:val="16"/>
        </w:rPr>
      </w:pPr>
      <w:r>
        <w:rPr>
          <w:rFonts w:ascii="Times New Roman" w:hAnsi="Times New Roman"/>
          <w:b/>
          <w:sz w:val="16"/>
        </w:rPr>
        <w:t>Gráfico y cálculo elaborado por  Lic. Samuel Hernández, DIGESTYC.</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Este gráfico tiene como propósito observar en  que rubros prioritarios, realizan el gasto en salud las familias, según nivel de ingreso. Podemos observar que el primer rubro prioritario en que las familias registran su gasto en salud es en medicamentos, esto podría indicarnos sobre la practica habitual de las familias por la automedicación, aunque también indica una necesidad de salud por resolver que ocasiona gasto en salud; De igual manera se comporta el segundo rubro prioritario que ocasiona gasto de bolsillo en salud a las familias según nivel de ingreso. Es interesante ver que este comportamiento se da en todos los deciles de ingreso y probablemente mas acentuado en los deciles de menores ingresos.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En lo relacionado a los  rubros de exámenes de laboratorio y hospitalización, dado que aun cuando en todos los deciles se reporta gasto, este se va incrementando en los deciles de mayor ingreso, lo cual no necesariamente indica equidad, probablemente muchas de las familias de menores ingreso no alcanzan a resolver estas necesidades por su misma situación económica.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jc w:val="both"/>
        <w:rPr>
          <w:rFonts w:ascii="Times New Roman" w:hAnsi="Times New Roman"/>
          <w:b/>
          <w:sz w:val="24"/>
        </w:rPr>
      </w:pPr>
      <w:r>
        <w:rPr>
          <w:rFonts w:ascii="Times New Roman" w:hAnsi="Times New Roman"/>
          <w:b/>
          <w:sz w:val="24"/>
        </w:rPr>
        <w:br w:type="page"/>
      </w:r>
      <w:r>
        <w:rPr>
          <w:rFonts w:ascii="Times New Roman" w:hAnsi="Times New Roman"/>
          <w:b/>
          <w:sz w:val="24"/>
        </w:rPr>
        <w:lastRenderedPageBreak/>
        <w:t>6. Coeficiente de desigualdad en el gasto prioritario en salud de las familias de los deciles más bajos con relación  a  los deciles  más altos;</w:t>
      </w:r>
    </w:p>
    <w:p w:rsidR="00081A52" w:rsidRDefault="00081A52">
      <w:pPr>
        <w:pStyle w:val="Textoindependiente"/>
        <w:spacing w:line="360" w:lineRule="auto"/>
        <w:jc w:val="both"/>
        <w:rPr>
          <w:rFonts w:ascii="Times New Roman" w:hAnsi="Times New Roman"/>
          <w:b/>
          <w:bCs/>
          <w:sz w:val="24"/>
        </w:rPr>
      </w:pPr>
    </w:p>
    <w:p w:rsidR="00081A52" w:rsidRDefault="00081A52">
      <w:pPr>
        <w:pStyle w:val="Textoindependiente"/>
        <w:rPr>
          <w:rFonts w:ascii="Times New Roman" w:hAnsi="Times New Roman"/>
          <w:b/>
          <w:bCs/>
          <w:sz w:val="24"/>
        </w:rPr>
      </w:pPr>
      <w:r>
        <w:rPr>
          <w:rFonts w:ascii="Times New Roman" w:hAnsi="Times New Roman"/>
          <w:b/>
          <w:bCs/>
          <w:sz w:val="24"/>
        </w:rPr>
        <w:t>CUADRO COMPARATIVO  DE GASTO PRIORITARIO EN SALUD</w:t>
      </w:r>
    </w:p>
    <w:p w:rsidR="00081A52" w:rsidRDefault="00081A52">
      <w:pPr>
        <w:pStyle w:val="Textoindependiente"/>
        <w:rPr>
          <w:rFonts w:ascii="Times New Roman" w:hAnsi="Times New Roman"/>
          <w:b/>
          <w:bCs/>
          <w:sz w:val="24"/>
        </w:rPr>
      </w:pPr>
      <w:r>
        <w:rPr>
          <w:rFonts w:ascii="Times New Roman" w:hAnsi="Times New Roman"/>
          <w:b/>
          <w:bCs/>
          <w:sz w:val="24"/>
        </w:rPr>
        <w:t>Tabla No. 2</w:t>
      </w:r>
    </w:p>
    <w:tbl>
      <w:tblPr>
        <w:tblW w:w="9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38"/>
        <w:gridCol w:w="1287"/>
        <w:gridCol w:w="5376"/>
      </w:tblGrid>
      <w:tr w:rsidR="00081A52">
        <w:tblPrEx>
          <w:tblCellMar>
            <w:top w:w="0" w:type="dxa"/>
            <w:bottom w:w="0" w:type="dxa"/>
          </w:tblCellMar>
        </w:tblPrEx>
        <w:tc>
          <w:tcPr>
            <w:tcW w:w="2338" w:type="dxa"/>
          </w:tcPr>
          <w:p w:rsidR="00081A52" w:rsidRDefault="00081A52">
            <w:pPr>
              <w:pStyle w:val="Textoindependiente"/>
              <w:spacing w:line="360" w:lineRule="auto"/>
              <w:rPr>
                <w:rFonts w:ascii="Times New Roman" w:hAnsi="Times New Roman"/>
                <w:b/>
                <w:sz w:val="20"/>
              </w:rPr>
            </w:pPr>
            <w:r>
              <w:rPr>
                <w:rFonts w:ascii="Times New Roman" w:hAnsi="Times New Roman"/>
                <w:b/>
                <w:sz w:val="20"/>
              </w:rPr>
              <w:t>Rubro de Gastos</w:t>
            </w:r>
          </w:p>
          <w:p w:rsidR="00081A52" w:rsidRDefault="00081A52">
            <w:pPr>
              <w:pStyle w:val="Textoindependiente"/>
              <w:spacing w:line="360" w:lineRule="auto"/>
              <w:rPr>
                <w:rFonts w:ascii="Times New Roman" w:hAnsi="Times New Roman"/>
                <w:b/>
                <w:sz w:val="20"/>
              </w:rPr>
            </w:pPr>
            <w:r>
              <w:rPr>
                <w:rFonts w:ascii="Times New Roman" w:hAnsi="Times New Roman"/>
                <w:b/>
                <w:sz w:val="20"/>
              </w:rPr>
              <w:t>Prioritario en Salud</w:t>
            </w:r>
          </w:p>
          <w:p w:rsidR="00081A52" w:rsidRDefault="00081A52">
            <w:pPr>
              <w:pStyle w:val="Textoindependiente"/>
              <w:spacing w:line="360" w:lineRule="auto"/>
              <w:rPr>
                <w:rFonts w:ascii="Times New Roman" w:hAnsi="Times New Roman"/>
                <w:b/>
                <w:sz w:val="20"/>
              </w:rPr>
            </w:pPr>
            <w:r>
              <w:rPr>
                <w:rFonts w:ascii="Times New Roman" w:hAnsi="Times New Roman"/>
                <w:b/>
                <w:sz w:val="20"/>
              </w:rPr>
              <w:t>2001</w:t>
            </w:r>
          </w:p>
        </w:tc>
        <w:tc>
          <w:tcPr>
            <w:tcW w:w="1287" w:type="dxa"/>
          </w:tcPr>
          <w:p w:rsidR="00081A52" w:rsidRDefault="00081A52">
            <w:pPr>
              <w:pStyle w:val="Textoindependiente"/>
              <w:spacing w:line="360" w:lineRule="auto"/>
              <w:rPr>
                <w:rFonts w:ascii="Times New Roman" w:hAnsi="Times New Roman"/>
                <w:b/>
                <w:sz w:val="20"/>
                <w:szCs w:val="22"/>
              </w:rPr>
            </w:pPr>
            <w:r>
              <w:rPr>
                <w:rFonts w:ascii="Times New Roman" w:hAnsi="Times New Roman"/>
                <w:b/>
                <w:sz w:val="20"/>
                <w:szCs w:val="22"/>
              </w:rPr>
              <w:t>Coeficiente</w:t>
            </w:r>
          </w:p>
          <w:p w:rsidR="00081A52" w:rsidRDefault="00081A52">
            <w:pPr>
              <w:pStyle w:val="Textoindependiente"/>
              <w:spacing w:line="360" w:lineRule="auto"/>
              <w:rPr>
                <w:rFonts w:ascii="Times New Roman" w:hAnsi="Times New Roman"/>
                <w:b/>
                <w:sz w:val="20"/>
                <w:szCs w:val="22"/>
              </w:rPr>
            </w:pPr>
            <w:r>
              <w:rPr>
                <w:rFonts w:ascii="Times New Roman" w:hAnsi="Times New Roman"/>
                <w:b/>
                <w:sz w:val="20"/>
                <w:szCs w:val="22"/>
              </w:rPr>
              <w:t>de</w:t>
            </w:r>
          </w:p>
          <w:p w:rsidR="00081A52" w:rsidRDefault="00081A52">
            <w:pPr>
              <w:pStyle w:val="Textoindependiente"/>
              <w:spacing w:line="360" w:lineRule="auto"/>
              <w:rPr>
                <w:rFonts w:ascii="Times New Roman" w:hAnsi="Times New Roman"/>
                <w:b/>
                <w:sz w:val="20"/>
              </w:rPr>
            </w:pPr>
            <w:r>
              <w:rPr>
                <w:rFonts w:ascii="Times New Roman" w:hAnsi="Times New Roman"/>
                <w:b/>
                <w:sz w:val="20"/>
                <w:szCs w:val="22"/>
              </w:rPr>
              <w:t>desigualdad</w:t>
            </w:r>
          </w:p>
        </w:tc>
        <w:tc>
          <w:tcPr>
            <w:tcW w:w="5376" w:type="dxa"/>
          </w:tcPr>
          <w:p w:rsidR="00081A52" w:rsidRDefault="00081A52">
            <w:pPr>
              <w:pStyle w:val="Textoindependiente"/>
              <w:spacing w:line="360" w:lineRule="auto"/>
              <w:rPr>
                <w:rFonts w:ascii="Times New Roman" w:hAnsi="Times New Roman"/>
                <w:b/>
                <w:sz w:val="20"/>
              </w:rPr>
            </w:pPr>
            <w:r>
              <w:rPr>
                <w:rFonts w:ascii="Times New Roman" w:hAnsi="Times New Roman"/>
                <w:b/>
                <w:sz w:val="20"/>
              </w:rPr>
              <w:t>Interpretación del Coeficiente de</w:t>
            </w:r>
          </w:p>
          <w:p w:rsidR="00081A52" w:rsidRDefault="00081A52">
            <w:pPr>
              <w:pStyle w:val="Textoindependiente"/>
              <w:spacing w:line="360" w:lineRule="auto"/>
              <w:rPr>
                <w:rFonts w:ascii="Times New Roman" w:hAnsi="Times New Roman"/>
                <w:b/>
                <w:sz w:val="20"/>
              </w:rPr>
            </w:pPr>
            <w:r>
              <w:rPr>
                <w:rFonts w:ascii="Times New Roman" w:hAnsi="Times New Roman"/>
                <w:b/>
                <w:sz w:val="20"/>
              </w:rPr>
              <w:t>Desigualdad</w:t>
            </w:r>
          </w:p>
        </w:tc>
      </w:tr>
      <w:tr w:rsidR="00081A52">
        <w:tblPrEx>
          <w:tblCellMar>
            <w:top w:w="0" w:type="dxa"/>
            <w:bottom w:w="0" w:type="dxa"/>
          </w:tblCellMar>
        </w:tblPrEx>
        <w:tc>
          <w:tcPr>
            <w:tcW w:w="2338" w:type="dxa"/>
          </w:tcPr>
          <w:p w:rsidR="00081A52" w:rsidRDefault="00081A52">
            <w:pPr>
              <w:pStyle w:val="Textoindependiente"/>
              <w:spacing w:line="360" w:lineRule="auto"/>
              <w:jc w:val="both"/>
              <w:rPr>
                <w:rFonts w:ascii="Times New Roman" w:hAnsi="Times New Roman"/>
                <w:b/>
                <w:sz w:val="20"/>
              </w:rPr>
            </w:pPr>
            <w:r>
              <w:rPr>
                <w:rFonts w:ascii="Times New Roman" w:hAnsi="Times New Roman"/>
                <w:b/>
                <w:sz w:val="20"/>
              </w:rPr>
              <w:t>Medicamentos</w:t>
            </w:r>
          </w:p>
        </w:tc>
        <w:tc>
          <w:tcPr>
            <w:tcW w:w="1287" w:type="dxa"/>
          </w:tcPr>
          <w:p w:rsidR="00081A52" w:rsidRDefault="00081A52">
            <w:pPr>
              <w:pStyle w:val="Textoindependiente"/>
              <w:spacing w:line="360" w:lineRule="auto"/>
              <w:rPr>
                <w:rFonts w:ascii="Times New Roman" w:hAnsi="Times New Roman"/>
                <w:sz w:val="20"/>
              </w:rPr>
            </w:pPr>
            <w:r>
              <w:rPr>
                <w:rFonts w:ascii="Times New Roman" w:hAnsi="Times New Roman"/>
                <w:sz w:val="20"/>
              </w:rPr>
              <w:t>0.68</w:t>
            </w:r>
          </w:p>
        </w:tc>
        <w:tc>
          <w:tcPr>
            <w:tcW w:w="5376" w:type="dxa"/>
          </w:tcPr>
          <w:p w:rsidR="00081A52" w:rsidRDefault="00081A52">
            <w:pPr>
              <w:pStyle w:val="Textoindependiente"/>
              <w:spacing w:line="360" w:lineRule="auto"/>
              <w:ind w:right="-1205"/>
              <w:jc w:val="both"/>
              <w:rPr>
                <w:rFonts w:ascii="Times New Roman" w:hAnsi="Times New Roman"/>
                <w:sz w:val="20"/>
              </w:rPr>
            </w:pPr>
            <w:r>
              <w:rPr>
                <w:rFonts w:ascii="Times New Roman" w:hAnsi="Times New Roman"/>
                <w:sz w:val="20"/>
              </w:rPr>
              <w:t>Por cada persona correspondiente a los tres primeros deciles (de menor ingreso), hay 0.68 de los últimos cuatro deciles (de mayor ingreso) que reportan gasto prioritario en medicamentos.</w:t>
            </w:r>
          </w:p>
        </w:tc>
      </w:tr>
      <w:tr w:rsidR="00081A52">
        <w:tblPrEx>
          <w:tblCellMar>
            <w:top w:w="0" w:type="dxa"/>
            <w:bottom w:w="0" w:type="dxa"/>
          </w:tblCellMar>
        </w:tblPrEx>
        <w:tc>
          <w:tcPr>
            <w:tcW w:w="2338" w:type="dxa"/>
          </w:tcPr>
          <w:p w:rsidR="00081A52" w:rsidRDefault="00081A52">
            <w:pPr>
              <w:pStyle w:val="Textoindependiente"/>
              <w:spacing w:line="360" w:lineRule="auto"/>
              <w:jc w:val="both"/>
              <w:rPr>
                <w:rFonts w:ascii="Times New Roman" w:hAnsi="Times New Roman"/>
                <w:b/>
                <w:sz w:val="20"/>
              </w:rPr>
            </w:pPr>
            <w:r>
              <w:rPr>
                <w:rFonts w:ascii="Times New Roman" w:hAnsi="Times New Roman"/>
                <w:b/>
                <w:sz w:val="20"/>
              </w:rPr>
              <w:t>Consulta Médica</w:t>
            </w:r>
          </w:p>
        </w:tc>
        <w:tc>
          <w:tcPr>
            <w:tcW w:w="1287" w:type="dxa"/>
          </w:tcPr>
          <w:p w:rsidR="00081A52" w:rsidRDefault="00081A52">
            <w:pPr>
              <w:pStyle w:val="Textoindependiente"/>
              <w:spacing w:line="360" w:lineRule="auto"/>
              <w:rPr>
                <w:rFonts w:ascii="Times New Roman" w:hAnsi="Times New Roman"/>
                <w:sz w:val="20"/>
              </w:rPr>
            </w:pPr>
            <w:r>
              <w:rPr>
                <w:rFonts w:ascii="Times New Roman" w:hAnsi="Times New Roman"/>
                <w:sz w:val="20"/>
              </w:rPr>
              <w:t>0.67</w:t>
            </w:r>
          </w:p>
        </w:tc>
        <w:tc>
          <w:tcPr>
            <w:tcW w:w="5376" w:type="dxa"/>
          </w:tcPr>
          <w:p w:rsidR="00081A52" w:rsidRDefault="00081A52">
            <w:pPr>
              <w:pStyle w:val="Textoindependiente"/>
              <w:spacing w:line="360" w:lineRule="auto"/>
              <w:jc w:val="both"/>
              <w:rPr>
                <w:rFonts w:ascii="Times New Roman" w:hAnsi="Times New Roman"/>
                <w:sz w:val="20"/>
              </w:rPr>
            </w:pPr>
            <w:r>
              <w:rPr>
                <w:rFonts w:ascii="Times New Roman" w:hAnsi="Times New Roman"/>
                <w:sz w:val="20"/>
              </w:rPr>
              <w:t>Por cada persona de los tres primeros deciles (de menor ingreso), hay 0.67 de los últimos cuatro deciles (de mayor ingreso) que reportan gasto prioritario en Consulta Médica.</w:t>
            </w:r>
          </w:p>
        </w:tc>
      </w:tr>
      <w:tr w:rsidR="00081A52">
        <w:tblPrEx>
          <w:tblCellMar>
            <w:top w:w="0" w:type="dxa"/>
            <w:bottom w:w="0" w:type="dxa"/>
          </w:tblCellMar>
        </w:tblPrEx>
        <w:tc>
          <w:tcPr>
            <w:tcW w:w="2338" w:type="dxa"/>
          </w:tcPr>
          <w:p w:rsidR="00081A52" w:rsidRDefault="00081A52">
            <w:pPr>
              <w:pStyle w:val="Textoindependiente"/>
              <w:spacing w:line="360" w:lineRule="auto"/>
              <w:jc w:val="both"/>
              <w:rPr>
                <w:rFonts w:ascii="Times New Roman" w:hAnsi="Times New Roman"/>
                <w:b/>
                <w:sz w:val="20"/>
              </w:rPr>
            </w:pPr>
            <w:r>
              <w:rPr>
                <w:rFonts w:ascii="Times New Roman" w:hAnsi="Times New Roman"/>
                <w:b/>
                <w:sz w:val="20"/>
              </w:rPr>
              <w:t>Exámenes de</w:t>
            </w:r>
          </w:p>
          <w:p w:rsidR="00081A52" w:rsidRDefault="00081A52">
            <w:pPr>
              <w:pStyle w:val="Textoindependiente"/>
              <w:spacing w:line="360" w:lineRule="auto"/>
              <w:ind w:right="425"/>
              <w:jc w:val="both"/>
              <w:rPr>
                <w:rFonts w:ascii="Times New Roman" w:hAnsi="Times New Roman"/>
                <w:b/>
                <w:sz w:val="20"/>
              </w:rPr>
            </w:pPr>
            <w:r>
              <w:rPr>
                <w:rFonts w:ascii="Times New Roman" w:hAnsi="Times New Roman"/>
                <w:b/>
                <w:sz w:val="20"/>
              </w:rPr>
              <w:t>Laboratorio</w:t>
            </w:r>
          </w:p>
        </w:tc>
        <w:tc>
          <w:tcPr>
            <w:tcW w:w="1287" w:type="dxa"/>
          </w:tcPr>
          <w:p w:rsidR="00081A52" w:rsidRDefault="00081A52">
            <w:pPr>
              <w:pStyle w:val="Textoindependiente"/>
              <w:spacing w:line="360" w:lineRule="auto"/>
              <w:rPr>
                <w:rFonts w:ascii="Times New Roman" w:hAnsi="Times New Roman"/>
                <w:sz w:val="20"/>
              </w:rPr>
            </w:pPr>
            <w:r>
              <w:rPr>
                <w:rFonts w:ascii="Times New Roman" w:hAnsi="Times New Roman"/>
                <w:sz w:val="20"/>
              </w:rPr>
              <w:t>1.22</w:t>
            </w:r>
          </w:p>
        </w:tc>
        <w:tc>
          <w:tcPr>
            <w:tcW w:w="5376" w:type="dxa"/>
          </w:tcPr>
          <w:p w:rsidR="00081A52" w:rsidRDefault="00081A52">
            <w:pPr>
              <w:pStyle w:val="Textoindependiente"/>
              <w:spacing w:line="360" w:lineRule="auto"/>
              <w:jc w:val="both"/>
              <w:rPr>
                <w:rFonts w:ascii="Times New Roman" w:hAnsi="Times New Roman"/>
                <w:sz w:val="20"/>
              </w:rPr>
            </w:pPr>
            <w:r>
              <w:rPr>
                <w:rFonts w:ascii="Times New Roman" w:hAnsi="Times New Roman"/>
                <w:sz w:val="20"/>
              </w:rPr>
              <w:t>Por cada persona de los tres primeros deciles (de menor ingreso), hay 1.22 personas de los últimos deciles (mayor ingreso), que reportan gasto prioritario en exámenes de laboratorios.</w:t>
            </w:r>
          </w:p>
        </w:tc>
      </w:tr>
      <w:tr w:rsidR="00081A52">
        <w:tblPrEx>
          <w:tblCellMar>
            <w:top w:w="0" w:type="dxa"/>
            <w:bottom w:w="0" w:type="dxa"/>
          </w:tblCellMar>
        </w:tblPrEx>
        <w:tc>
          <w:tcPr>
            <w:tcW w:w="2338" w:type="dxa"/>
          </w:tcPr>
          <w:p w:rsidR="00081A52" w:rsidRDefault="00081A52">
            <w:pPr>
              <w:pStyle w:val="Textoindependiente"/>
              <w:spacing w:line="360" w:lineRule="auto"/>
              <w:jc w:val="both"/>
              <w:rPr>
                <w:rFonts w:ascii="Times New Roman" w:hAnsi="Times New Roman"/>
                <w:b/>
                <w:sz w:val="20"/>
              </w:rPr>
            </w:pPr>
            <w:r>
              <w:rPr>
                <w:rFonts w:ascii="Times New Roman" w:hAnsi="Times New Roman"/>
                <w:b/>
                <w:sz w:val="20"/>
              </w:rPr>
              <w:t>Hospitalización</w:t>
            </w:r>
          </w:p>
        </w:tc>
        <w:tc>
          <w:tcPr>
            <w:tcW w:w="1287" w:type="dxa"/>
          </w:tcPr>
          <w:p w:rsidR="00081A52" w:rsidRDefault="00081A52">
            <w:pPr>
              <w:pStyle w:val="Textoindependiente"/>
              <w:spacing w:line="360" w:lineRule="auto"/>
              <w:rPr>
                <w:rFonts w:ascii="Times New Roman" w:hAnsi="Times New Roman"/>
                <w:sz w:val="20"/>
              </w:rPr>
            </w:pPr>
            <w:r>
              <w:rPr>
                <w:rFonts w:ascii="Times New Roman" w:hAnsi="Times New Roman"/>
                <w:sz w:val="20"/>
              </w:rPr>
              <w:t>0.66</w:t>
            </w:r>
          </w:p>
        </w:tc>
        <w:tc>
          <w:tcPr>
            <w:tcW w:w="5376" w:type="dxa"/>
          </w:tcPr>
          <w:p w:rsidR="00081A52" w:rsidRDefault="00081A52">
            <w:pPr>
              <w:pStyle w:val="Textoindependiente"/>
              <w:spacing w:line="360" w:lineRule="auto"/>
              <w:jc w:val="both"/>
              <w:rPr>
                <w:rFonts w:ascii="Times New Roman" w:hAnsi="Times New Roman"/>
                <w:b/>
                <w:sz w:val="20"/>
              </w:rPr>
            </w:pPr>
            <w:r>
              <w:rPr>
                <w:rFonts w:ascii="Times New Roman" w:hAnsi="Times New Roman"/>
                <w:sz w:val="20"/>
              </w:rPr>
              <w:t>Por cada persona de los tres primeros deciles (de menor ingreso), hay 1.22 personas de los últimos deciles (mayor ingreso), que reportan gasto de hospitalización.</w:t>
            </w:r>
            <w:r>
              <w:rPr>
                <w:rFonts w:ascii="Times New Roman" w:hAnsi="Times New Roman"/>
                <w:b/>
                <w:sz w:val="20"/>
              </w:rPr>
              <w:t xml:space="preserve"> </w:t>
            </w:r>
          </w:p>
        </w:tc>
      </w:tr>
    </w:tbl>
    <w:p w:rsidR="00081A52" w:rsidRDefault="00081A52">
      <w:pPr>
        <w:pStyle w:val="Textoindependiente"/>
        <w:spacing w:line="360" w:lineRule="auto"/>
        <w:jc w:val="right"/>
        <w:outlineLvl w:val="0"/>
        <w:rPr>
          <w:rFonts w:ascii="Times New Roman" w:hAnsi="Times New Roman"/>
          <w:b/>
          <w:sz w:val="16"/>
        </w:rPr>
      </w:pPr>
      <w:r>
        <w:rPr>
          <w:rFonts w:ascii="Times New Roman" w:hAnsi="Times New Roman"/>
          <w:b/>
          <w:sz w:val="16"/>
        </w:rPr>
        <w:t>Fuente: EHPM-2001</w:t>
      </w:r>
    </w:p>
    <w:p w:rsidR="00081A52" w:rsidRDefault="00081A52">
      <w:pPr>
        <w:pStyle w:val="Textoindependiente"/>
        <w:spacing w:line="360" w:lineRule="auto"/>
        <w:jc w:val="right"/>
        <w:outlineLvl w:val="0"/>
        <w:rPr>
          <w:rFonts w:ascii="Times New Roman" w:hAnsi="Times New Roman"/>
          <w:b/>
          <w:sz w:val="16"/>
        </w:rPr>
      </w:pPr>
      <w:r>
        <w:rPr>
          <w:rFonts w:ascii="Times New Roman" w:hAnsi="Times New Roman"/>
          <w:b/>
          <w:sz w:val="16"/>
        </w:rPr>
        <w:t>Gráfico y cálculo elaborado por  Lic. Samuel Hernández, DIGESTYC</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Este cuadro muestra los coeficientes calculados, relacionando el gasto prioritario en salud de las familias ubicadas  en los tres primeros deciles de </w:t>
      </w:r>
      <w:smartTag w:uri="urn:schemas-microsoft-com:office:smarttags" w:element="PersonName">
        <w:smartTagPr>
          <w:attr w:name="ProductID" w:val="la EHPM"/>
        </w:smartTagPr>
        <w:r>
          <w:rPr>
            <w:rFonts w:ascii="Times New Roman" w:hAnsi="Times New Roman"/>
            <w:sz w:val="24"/>
          </w:rPr>
          <w:t>la EHPM</w:t>
        </w:r>
      </w:smartTag>
      <w:r>
        <w:rPr>
          <w:rFonts w:ascii="Times New Roman" w:hAnsi="Times New Roman"/>
          <w:sz w:val="24"/>
        </w:rPr>
        <w:t xml:space="preserve"> (menor nivel de ingreso) con el gasto prioritario en salud de las familias ubicadas en los cuatro últimos deciles de ingreso (mayor nivel de ingreso); en cada uno de los rubros en que se registra el gasto, así: Medicamentos, Consulta Médica, Exámenes de Laboratorio y Hospitalización.</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b/>
          <w:sz w:val="24"/>
        </w:rPr>
      </w:pPr>
      <w:r>
        <w:rPr>
          <w:rFonts w:ascii="Times New Roman" w:hAnsi="Times New Roman"/>
          <w:sz w:val="24"/>
        </w:rPr>
        <w:t xml:space="preserve">Se puede observar que más familias pobres registran más gasto en medicamentos, consulta médica y hospitalización, que las familias de mayores ingresos, esto lo podemos contrastar con el indicador No.3, que nos refleja la utilización de los servicios públicos de salud, el cual muestra que los servicios del Ministerio de Salud, están siendo utilizados por personas de todos los deciles de ingreso, incluso de los de mayor ingreso, probablemente limitando la oportunidad a las personas de menores ingresos, especialmente si consideramos la escasez de recurso presupuestario de las instituciones del Ministerio de Salud.  Por otro </w:t>
      </w:r>
      <w:r>
        <w:rPr>
          <w:rFonts w:ascii="Times New Roman" w:hAnsi="Times New Roman"/>
          <w:sz w:val="24"/>
        </w:rPr>
        <w:lastRenderedPageBreak/>
        <w:t xml:space="preserve">lado si lo contrastamos con los primeros dos indicadores de este estudio, los índices de concentración de la oferta de servicios de salud, tanto ambulatoria como hospitalaria, pudimos ver la concentración en áreas urbanas y en la capital, lo que ubica en desventaja a las familias rurales, quienes tienen que  gastar para trasladarse a los establecimientos de salud, aún cuando el Ministerio de Salud ha implementando la estrategia de gratuidad en las unidades de salud, esta ayuda en parte, pero no resuelve completamente el gasto de bolsillo del as familias rurales aún el de las más pobres.  </w:t>
      </w:r>
      <w:r>
        <w:rPr>
          <w:rFonts w:ascii="Times New Roman" w:hAnsi="Times New Roman"/>
          <w:b/>
          <w:sz w:val="24"/>
        </w:rPr>
        <w:t>Lo anterior es importante porque parece que son algunos de los factores que subyacen al comportamiento de gasto prioritario en salud presentado en la tabla correspondiente al indicador número seis.  En donde se observa que más familias pobres que no pobres registran gasto en medicamento, consulta médica y hospitalización.</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rPr>
          <w:rFonts w:ascii="Times New Roman" w:hAnsi="Times New Roman"/>
          <w:b/>
          <w:sz w:val="24"/>
        </w:rPr>
      </w:pPr>
      <w:r>
        <w:rPr>
          <w:rFonts w:ascii="Times New Roman" w:hAnsi="Times New Roman"/>
          <w:b/>
          <w:sz w:val="24"/>
        </w:rPr>
        <w:t>Gráfico No.12</w:t>
      </w:r>
    </w:p>
    <w:p w:rsidR="00081A52" w:rsidRDefault="00081A52">
      <w:pPr>
        <w:pStyle w:val="Textoindependiente"/>
        <w:spacing w:line="360" w:lineRule="auto"/>
        <w:rPr>
          <w:rFonts w:ascii="Times New Roman" w:hAnsi="Times New Roman"/>
          <w:b/>
          <w:sz w:val="24"/>
        </w:rPr>
      </w:pPr>
      <w:r>
        <w:rPr>
          <w:rFonts w:ascii="Times New Roman" w:hAnsi="Times New Roman"/>
          <w:b/>
          <w:sz w:val="24"/>
        </w:rPr>
        <w:t>DISTRIBUCIÓN DEL GASTO EN SALUD CON RELACIÓN AL GÉNERO Y NIVEL DE INGRESO 2001</w:t>
      </w:r>
    </w:p>
    <w:p w:rsidR="00081A52" w:rsidRDefault="00081A52">
      <w:pPr>
        <w:pStyle w:val="Textoindependiente"/>
        <w:spacing w:line="360" w:lineRule="auto"/>
        <w:jc w:val="right"/>
        <w:rPr>
          <w:rFonts w:ascii="Times New Roman" w:hAnsi="Times New Roman"/>
          <w:b/>
          <w:sz w:val="16"/>
        </w:rPr>
      </w:pPr>
    </w:p>
    <w:p w:rsidR="00081A52" w:rsidRDefault="00342C74">
      <w:pPr>
        <w:pStyle w:val="Textoindependiente"/>
        <w:spacing w:line="360" w:lineRule="auto"/>
        <w:jc w:val="right"/>
        <w:rPr>
          <w:rFonts w:ascii="Times New Roman" w:hAnsi="Times New Roman"/>
          <w:b/>
          <w:sz w:val="16"/>
        </w:rPr>
      </w:pPr>
      <w:r>
        <w:rPr>
          <w:rFonts w:ascii="Times New Roman" w:hAnsi="Times New Roman"/>
          <w:b/>
          <w:noProof/>
          <w:sz w:val="20"/>
          <w:lang w:val="es-ES"/>
        </w:rPr>
        <w:drawing>
          <wp:anchor distT="0" distB="0" distL="114300" distR="114300" simplePos="0" relativeHeight="251624448" behindDoc="0" locked="0" layoutInCell="1" allowOverlap="1">
            <wp:simplePos x="0" y="0"/>
            <wp:positionH relativeFrom="column">
              <wp:posOffset>304800</wp:posOffset>
            </wp:positionH>
            <wp:positionV relativeFrom="paragraph">
              <wp:posOffset>42545</wp:posOffset>
            </wp:positionV>
            <wp:extent cx="5334000" cy="2197100"/>
            <wp:effectExtent l="0" t="4445" r="0" b="0"/>
            <wp:wrapTopAndBottom/>
            <wp:docPr id="33" name="Objeto 3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081A52">
        <w:rPr>
          <w:rFonts w:ascii="Times New Roman" w:hAnsi="Times New Roman"/>
          <w:b/>
          <w:sz w:val="16"/>
        </w:rPr>
        <w:t>Fuente: EHPM-2001</w:t>
      </w:r>
    </w:p>
    <w:p w:rsidR="00081A52" w:rsidRDefault="00081A52">
      <w:pPr>
        <w:pStyle w:val="Textoindependiente"/>
        <w:spacing w:line="360" w:lineRule="auto"/>
        <w:jc w:val="right"/>
        <w:outlineLvl w:val="0"/>
        <w:rPr>
          <w:rFonts w:ascii="Times New Roman" w:hAnsi="Times New Roman"/>
          <w:b/>
          <w:sz w:val="16"/>
        </w:rPr>
      </w:pPr>
      <w:r>
        <w:rPr>
          <w:rFonts w:ascii="Times New Roman" w:hAnsi="Times New Roman"/>
          <w:b/>
          <w:sz w:val="16"/>
        </w:rPr>
        <w:t>Gráfico y cálculo elaborado por  Lic. Samuel Hernández, DIGESTYC</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Este gráfico presenta como se distribuye el gasto en salud según género y nivel de ingreso económico y se observa que  en todos los deciles registran gasto más hombres que mujeres.  Por lo tanto el coeficiente desigualdad en todos los deciles es mayor que uno; lo que podemos interpretar así; por ejemplo en el primer decil cuyo coeficiente es 1.05991736, indica que por cada mujer que registra gasto en salud hay 1.05 hombres del mismo decil </w:t>
      </w:r>
      <w:r>
        <w:rPr>
          <w:rFonts w:ascii="Times New Roman" w:hAnsi="Times New Roman"/>
          <w:sz w:val="24"/>
        </w:rPr>
        <w:lastRenderedPageBreak/>
        <w:t xml:space="preserve">que también reporta gasto.  En los primeros deciles parecería que la diferencia no es muy significativa, pero en los deciles de mayor ingreso, la diferencia es más significativa, ejemplo de ello es los deciles VI y X, cuyos coeficientes son los más altos (1.143 y 1.141 respectivamente), significa que por cada mujer del decil VI que registra gasto en salud hay 1.14 hombres del mismo decil que también reporta gasto. </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Con base en lo anterior podemos decir que a medida incrementa el nivel de ingreso, incrementa el gasto en salud de los hombres de los hogares encuestados.  Por el contrario el gasto en salud de las mujeres de los hogares encuestados,  no aumentó respecto del género masculino a pesar de ubicarse en deciles de mayor ingreso, lo que indica la desigualdad de género que las mujeres enfrentan aún en los deciles de mayores ingresos, dado que las necesidades de salud de las mujeres al igual que los hombres se dan en todos los niveles de ingreso.</w:t>
      </w:r>
    </w:p>
    <w:p w:rsidR="00081A52" w:rsidRDefault="00081A52">
      <w:pPr>
        <w:pStyle w:val="Textoindependiente"/>
        <w:spacing w:line="360" w:lineRule="auto"/>
        <w:rPr>
          <w:rFonts w:ascii="Times New Roman" w:hAnsi="Times New Roman"/>
          <w:b/>
        </w:rPr>
      </w:pPr>
      <w:r>
        <w:rPr>
          <w:rFonts w:ascii="Times New Roman" w:hAnsi="Times New Roman"/>
          <w:sz w:val="24"/>
        </w:rPr>
        <w:br w:type="page"/>
      </w:r>
      <w:r>
        <w:rPr>
          <w:rFonts w:ascii="Times New Roman" w:hAnsi="Times New Roman"/>
          <w:b/>
        </w:rPr>
        <w:lastRenderedPageBreak/>
        <w:t>VII.  CONCLUSIONES Y  RECOMENDACIONES</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sz w:val="24"/>
        </w:rPr>
      </w:pPr>
      <w:r>
        <w:rPr>
          <w:rFonts w:ascii="Times New Roman" w:hAnsi="Times New Roman"/>
          <w:sz w:val="24"/>
        </w:rPr>
        <w:t xml:space="preserve">A partir de los resultados presentados que tienen su base en los indicadores elaborados en el presente estudio y que aspira a que se constituyan en un </w:t>
      </w:r>
      <w:r>
        <w:rPr>
          <w:rFonts w:ascii="Times New Roman" w:hAnsi="Times New Roman"/>
          <w:b/>
          <w:sz w:val="24"/>
        </w:rPr>
        <w:t>observatorio de la equidad en la disponibilidad y utilización de servicios en El Salvador</w:t>
      </w:r>
      <w:r>
        <w:rPr>
          <w:rFonts w:ascii="Times New Roman" w:hAnsi="Times New Roman"/>
          <w:sz w:val="24"/>
        </w:rPr>
        <w:t>, se puede concluir y recomendar  lo siguiente:</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spacing w:line="360" w:lineRule="auto"/>
        <w:jc w:val="both"/>
        <w:rPr>
          <w:rFonts w:ascii="Times New Roman" w:hAnsi="Times New Roman"/>
          <w:b/>
          <w:bCs/>
          <w:sz w:val="24"/>
        </w:rPr>
      </w:pPr>
      <w:r>
        <w:rPr>
          <w:rFonts w:ascii="Times New Roman" w:hAnsi="Times New Roman"/>
          <w:b/>
          <w:bCs/>
          <w:sz w:val="24"/>
        </w:rPr>
        <w:t>a) CONCLUSIONES:</w:t>
      </w:r>
    </w:p>
    <w:p w:rsidR="00081A52" w:rsidRDefault="00081A52">
      <w:pPr>
        <w:pStyle w:val="Textoindependiente"/>
        <w:numPr>
          <w:ilvl w:val="0"/>
          <w:numId w:val="10"/>
        </w:numPr>
        <w:spacing w:line="360" w:lineRule="auto"/>
        <w:jc w:val="both"/>
        <w:rPr>
          <w:rFonts w:ascii="Times New Roman" w:hAnsi="Times New Roman"/>
          <w:sz w:val="24"/>
        </w:rPr>
      </w:pPr>
      <w:r>
        <w:rPr>
          <w:rFonts w:ascii="Times New Roman" w:hAnsi="Times New Roman"/>
          <w:b/>
          <w:sz w:val="24"/>
        </w:rPr>
        <w:t>La oferta  de servicios ambulatorios de salud de las dos principales instituciones proveedoras del sector (MSPAS, ISSS), muestran alta concentración en áreas urbanas</w:t>
      </w:r>
      <w:r>
        <w:rPr>
          <w:rFonts w:ascii="Times New Roman" w:hAnsi="Times New Roman"/>
          <w:sz w:val="24"/>
        </w:rPr>
        <w:t>; lo que genera problemas de disponibilidad y acceso a las familias del área rural y especialmente de las familias más pobres, las cuales tienen que incurrir en gastos para trasladarse desde el cantón a las clínicas o unidades de salud, no obstante la estrategia de gratuidad  en las unidades de salud del Ministerio de Salud que elimina las cuotas en las unidades  de salud, pero las familias tienen que trasladarse hacia las unidades de salud lo que aun le genera gasto de bolsillo.</w:t>
      </w:r>
    </w:p>
    <w:p w:rsidR="00081A52" w:rsidRDefault="00081A52">
      <w:pPr>
        <w:pStyle w:val="Textoindependiente"/>
        <w:spacing w:line="360" w:lineRule="auto"/>
        <w:ind w:left="530"/>
        <w:jc w:val="both"/>
        <w:rPr>
          <w:rFonts w:ascii="Times New Roman" w:hAnsi="Times New Roman"/>
          <w:sz w:val="24"/>
        </w:rPr>
      </w:pPr>
    </w:p>
    <w:p w:rsidR="00081A52" w:rsidRDefault="00081A52">
      <w:pPr>
        <w:pStyle w:val="Textoindependiente"/>
        <w:numPr>
          <w:ilvl w:val="0"/>
          <w:numId w:val="10"/>
        </w:numPr>
        <w:spacing w:line="360" w:lineRule="auto"/>
        <w:jc w:val="both"/>
        <w:rPr>
          <w:rFonts w:ascii="Times New Roman" w:hAnsi="Times New Roman"/>
          <w:sz w:val="24"/>
        </w:rPr>
      </w:pPr>
      <w:r>
        <w:rPr>
          <w:rFonts w:ascii="Times New Roman" w:hAnsi="Times New Roman"/>
          <w:b/>
          <w:sz w:val="24"/>
        </w:rPr>
        <w:t>La oferta de servicios Hospitalarios de salud de las dos principales instituciones proveedoras del sector (MSPAS, ISSS), muestran alta concentración en áreas urbanas de las principales ciudades y especialmente en la capital</w:t>
      </w:r>
      <w:r>
        <w:rPr>
          <w:rFonts w:ascii="Times New Roman" w:hAnsi="Times New Roman"/>
          <w:sz w:val="24"/>
        </w:rPr>
        <w:t xml:space="preserve"> ; lo que genera problemas de disponibilidad y acceso de las familias del área rural y especialmente de las familias más pobres quienes tienen que incurrir en gastos para trasladarse a los hospitales, como también realizar co- pagos en los mismos e incorporarse a las listas de espera que debido a la alta demanda enfrentan a los hospitales.</w:t>
      </w:r>
    </w:p>
    <w:p w:rsidR="00081A52" w:rsidRDefault="00081A52">
      <w:pPr>
        <w:pStyle w:val="Textoindependiente"/>
        <w:spacing w:line="360" w:lineRule="auto"/>
        <w:ind w:left="530"/>
        <w:jc w:val="both"/>
        <w:rPr>
          <w:rFonts w:ascii="Times New Roman" w:hAnsi="Times New Roman"/>
          <w:sz w:val="24"/>
        </w:rPr>
      </w:pPr>
    </w:p>
    <w:p w:rsidR="00081A52" w:rsidRDefault="00081A52">
      <w:pPr>
        <w:pStyle w:val="Textoindependiente"/>
        <w:numPr>
          <w:ilvl w:val="0"/>
          <w:numId w:val="10"/>
        </w:numPr>
        <w:spacing w:line="360" w:lineRule="auto"/>
        <w:jc w:val="both"/>
        <w:rPr>
          <w:rFonts w:ascii="Times New Roman" w:hAnsi="Times New Roman"/>
          <w:sz w:val="24"/>
        </w:rPr>
      </w:pPr>
      <w:r>
        <w:rPr>
          <w:rFonts w:ascii="Times New Roman" w:hAnsi="Times New Roman"/>
          <w:b/>
          <w:sz w:val="24"/>
        </w:rPr>
        <w:t xml:space="preserve">Los servicios públicos de salud, especialmente los del Ministerio de Salud, según </w:t>
      </w:r>
      <w:smartTag w:uri="urn:schemas-microsoft-com:office:smarttags" w:element="PersonName">
        <w:smartTagPr>
          <w:attr w:name="ProductID" w:val="la EHPM-2001"/>
        </w:smartTagPr>
        <w:r>
          <w:rPr>
            <w:rFonts w:ascii="Times New Roman" w:hAnsi="Times New Roman"/>
            <w:b/>
            <w:sz w:val="24"/>
          </w:rPr>
          <w:t>la EHPM-2001</w:t>
        </w:r>
      </w:smartTag>
      <w:r>
        <w:rPr>
          <w:rFonts w:ascii="Times New Roman" w:hAnsi="Times New Roman"/>
          <w:b/>
          <w:sz w:val="24"/>
        </w:rPr>
        <w:t xml:space="preserve"> indican estar siendo utilizados por personas de todos niveles de ingreso económicos, incluyendo personas de los deciles de ingreso más altos,</w:t>
      </w:r>
      <w:r>
        <w:rPr>
          <w:rFonts w:ascii="Times New Roman" w:hAnsi="Times New Roman"/>
          <w:sz w:val="24"/>
        </w:rPr>
        <w:t xml:space="preserve"> limitando con esto la utilización de los servicios por personas de los </w:t>
      </w:r>
      <w:r>
        <w:rPr>
          <w:rFonts w:ascii="Times New Roman" w:hAnsi="Times New Roman"/>
          <w:sz w:val="24"/>
        </w:rPr>
        <w:lastRenderedPageBreak/>
        <w:t>deciles más pobres, quienes tienen que enfrentar largas colas en los servicios por el consecuente incremento en la demanda, al ser abarrotados por personas de mayores ingresos.</w:t>
      </w:r>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numPr>
          <w:ilvl w:val="0"/>
          <w:numId w:val="10"/>
        </w:numPr>
        <w:spacing w:line="360" w:lineRule="auto"/>
        <w:jc w:val="both"/>
        <w:rPr>
          <w:rFonts w:ascii="Times New Roman" w:hAnsi="Times New Roman"/>
          <w:sz w:val="24"/>
        </w:rPr>
      </w:pPr>
      <w:r>
        <w:rPr>
          <w:rFonts w:ascii="Times New Roman" w:hAnsi="Times New Roman"/>
          <w:b/>
          <w:sz w:val="24"/>
        </w:rPr>
        <w:t>El gasto en salud que registran las familias del área rural es mayor respecto de áreas urbanas</w:t>
      </w:r>
      <w:r>
        <w:rPr>
          <w:rFonts w:ascii="Times New Roman" w:hAnsi="Times New Roman"/>
          <w:sz w:val="24"/>
        </w:rPr>
        <w:t>, especialmente en los deciles de menores ingresos, lo que indica desigualdad hacia las familias rurales más pobres, porque tienen que desplazarse del campo a la ciudad para solicitar servicios, lo que les implica  incurrir en gastos de traslado hacia los establecimientos de salud, lo cual  podría ser un factor que limite el acceso de estas familias.</w:t>
      </w:r>
    </w:p>
    <w:p w:rsidR="00081A52" w:rsidRDefault="00081A52">
      <w:pPr>
        <w:pStyle w:val="Textoindependiente"/>
        <w:spacing w:line="360" w:lineRule="auto"/>
        <w:ind w:left="530"/>
        <w:jc w:val="both"/>
        <w:rPr>
          <w:rFonts w:ascii="Times New Roman" w:hAnsi="Times New Roman"/>
          <w:sz w:val="24"/>
        </w:rPr>
      </w:pPr>
    </w:p>
    <w:p w:rsidR="00081A52" w:rsidRDefault="00081A52">
      <w:pPr>
        <w:pStyle w:val="Textoindependiente"/>
        <w:numPr>
          <w:ilvl w:val="0"/>
          <w:numId w:val="10"/>
        </w:numPr>
        <w:spacing w:line="360" w:lineRule="auto"/>
        <w:jc w:val="both"/>
        <w:rPr>
          <w:rFonts w:ascii="Times New Roman" w:hAnsi="Times New Roman"/>
          <w:sz w:val="24"/>
        </w:rPr>
      </w:pPr>
      <w:r>
        <w:rPr>
          <w:rFonts w:ascii="Times New Roman" w:hAnsi="Times New Roman"/>
          <w:b/>
          <w:sz w:val="24"/>
        </w:rPr>
        <w:t>El gasto en salud que las familias realizan se distribuye prioritariamente en medicamentos,</w:t>
      </w:r>
      <w:r>
        <w:rPr>
          <w:rFonts w:ascii="Times New Roman" w:hAnsi="Times New Roman"/>
          <w:sz w:val="24"/>
        </w:rPr>
        <w:t xml:space="preserve"> consulta médica, exámenes de laboratorio y hospitalización respectivamente y se da en todos los deciles de ingreso, mayormente acentuando en las familias pobres a excepción del rubro exámenes de laboratorio.  Focalizando a las familias pobres y especialmente del área rural.  </w:t>
      </w:r>
    </w:p>
    <w:p w:rsidR="00081A52" w:rsidRDefault="00081A52">
      <w:pPr>
        <w:pStyle w:val="Textoindependiente"/>
        <w:spacing w:line="360" w:lineRule="auto"/>
        <w:ind w:left="530"/>
        <w:jc w:val="both"/>
        <w:rPr>
          <w:rFonts w:ascii="Times New Roman" w:hAnsi="Times New Roman"/>
          <w:sz w:val="24"/>
        </w:rPr>
      </w:pPr>
    </w:p>
    <w:p w:rsidR="00081A52" w:rsidRDefault="00081A52">
      <w:pPr>
        <w:pStyle w:val="Textoindependiente"/>
        <w:numPr>
          <w:ilvl w:val="0"/>
          <w:numId w:val="10"/>
        </w:numPr>
        <w:spacing w:line="360" w:lineRule="auto"/>
        <w:jc w:val="both"/>
        <w:rPr>
          <w:rFonts w:ascii="Times New Roman" w:hAnsi="Times New Roman"/>
          <w:sz w:val="24"/>
        </w:rPr>
      </w:pPr>
      <w:r>
        <w:rPr>
          <w:rFonts w:ascii="Times New Roman" w:hAnsi="Times New Roman"/>
          <w:b/>
          <w:sz w:val="24"/>
        </w:rPr>
        <w:t xml:space="preserve">Se observa inequidad de género en el gasto en salud en todos los deciles  de ingreso </w:t>
      </w:r>
      <w:r>
        <w:rPr>
          <w:rFonts w:ascii="Times New Roman" w:hAnsi="Times New Roman"/>
          <w:sz w:val="24"/>
        </w:rPr>
        <w:t xml:space="preserve">de </w:t>
      </w:r>
      <w:smartTag w:uri="urn:schemas-microsoft-com:office:smarttags" w:element="PersonName">
        <w:smartTagPr>
          <w:attr w:name="ProductID" w:val="la EHPM"/>
        </w:smartTagPr>
        <w:r>
          <w:rPr>
            <w:rFonts w:ascii="Times New Roman" w:hAnsi="Times New Roman"/>
            <w:sz w:val="24"/>
          </w:rPr>
          <w:t>la EHPM</w:t>
        </w:r>
      </w:smartTag>
      <w:r>
        <w:rPr>
          <w:rFonts w:ascii="Times New Roman" w:hAnsi="Times New Roman"/>
          <w:sz w:val="24"/>
        </w:rPr>
        <w:t xml:space="preserve"> 2001.  Lo que nos hace pensar que la inequidad de genero no favorable a la mujer no es exclusivo de los hogares de los deciles de menores ingresos, sino que se da en todos los niveles de ingreso lo que  hace necesario el desarrollo sistemático de campañas  de comunicación social orientadas a fomentar la utilización de los servicios de salud con equidad de género, promocionando los servicios masculinos y mejorando el acceso a servicios integrales de salud para la mujer. Esto con el propósito de desarrollar la toma de conciencia colectiva, para evitar la inequidad de género en la utilización y gasto en salud, especialmente de las familias pobres.</w:t>
      </w:r>
    </w:p>
    <w:p w:rsidR="00081A52" w:rsidRDefault="00081A52">
      <w:pPr>
        <w:pStyle w:val="Textoindependiente"/>
        <w:spacing w:line="360" w:lineRule="auto"/>
        <w:jc w:val="both"/>
        <w:rPr>
          <w:rFonts w:ascii="Times New Roman" w:hAnsi="Times New Roman"/>
          <w:b/>
          <w:bCs/>
          <w:sz w:val="24"/>
        </w:rPr>
      </w:pPr>
    </w:p>
    <w:p w:rsidR="00081A52" w:rsidRDefault="00081A52">
      <w:pPr>
        <w:pStyle w:val="Textoindependiente"/>
        <w:spacing w:line="360" w:lineRule="auto"/>
        <w:jc w:val="both"/>
        <w:rPr>
          <w:rFonts w:ascii="Times New Roman" w:hAnsi="Times New Roman"/>
          <w:b/>
          <w:bCs/>
          <w:sz w:val="24"/>
        </w:rPr>
      </w:pPr>
    </w:p>
    <w:p w:rsidR="00081A52" w:rsidRDefault="00081A52">
      <w:pPr>
        <w:pStyle w:val="Textoindependiente"/>
        <w:spacing w:line="360" w:lineRule="auto"/>
        <w:jc w:val="both"/>
        <w:rPr>
          <w:rFonts w:ascii="Times New Roman" w:hAnsi="Times New Roman"/>
          <w:b/>
          <w:bCs/>
          <w:sz w:val="24"/>
        </w:rPr>
      </w:pPr>
    </w:p>
    <w:p w:rsidR="00081A52" w:rsidRDefault="00081A52">
      <w:pPr>
        <w:pStyle w:val="Textoindependiente"/>
        <w:spacing w:line="360" w:lineRule="auto"/>
        <w:jc w:val="both"/>
        <w:rPr>
          <w:rFonts w:ascii="Times New Roman" w:hAnsi="Times New Roman"/>
          <w:b/>
          <w:bCs/>
          <w:sz w:val="24"/>
        </w:rPr>
      </w:pPr>
    </w:p>
    <w:p w:rsidR="00081A52" w:rsidRDefault="00081A52">
      <w:pPr>
        <w:pStyle w:val="Textoindependiente"/>
        <w:spacing w:line="360" w:lineRule="auto"/>
        <w:jc w:val="both"/>
        <w:rPr>
          <w:rFonts w:ascii="Times New Roman" w:hAnsi="Times New Roman"/>
          <w:bCs/>
          <w:sz w:val="24"/>
        </w:rPr>
      </w:pPr>
      <w:r>
        <w:rPr>
          <w:rFonts w:ascii="Times New Roman" w:hAnsi="Times New Roman"/>
          <w:b/>
          <w:bCs/>
          <w:sz w:val="24"/>
        </w:rPr>
        <w:lastRenderedPageBreak/>
        <w:t>b</w:t>
      </w:r>
      <w:r>
        <w:rPr>
          <w:rFonts w:ascii="Times New Roman" w:hAnsi="Times New Roman"/>
          <w:b/>
          <w:sz w:val="24"/>
        </w:rPr>
        <w:t>) RECOMENDACIONES:</w:t>
      </w:r>
    </w:p>
    <w:p w:rsidR="00081A52" w:rsidRDefault="00081A52">
      <w:pPr>
        <w:pStyle w:val="Textoindependiente"/>
        <w:numPr>
          <w:ilvl w:val="0"/>
          <w:numId w:val="12"/>
        </w:numPr>
        <w:spacing w:line="360" w:lineRule="auto"/>
        <w:jc w:val="both"/>
        <w:rPr>
          <w:rFonts w:ascii="Times New Roman" w:hAnsi="Times New Roman"/>
          <w:bCs/>
          <w:sz w:val="24"/>
        </w:rPr>
      </w:pPr>
      <w:r>
        <w:rPr>
          <w:rFonts w:ascii="Times New Roman" w:hAnsi="Times New Roman"/>
          <w:bCs/>
          <w:sz w:val="24"/>
        </w:rPr>
        <w:t>Es recomendable buscar e implantar estrategias innovadoras que resuelvan el problema de la concentración de Servicios a nivel urbano por lo que se recomienda institucionalizar estrategias que lleven los servicios de salud a las áreas rurales, periódicamente y aseguren mecanismos de referencia y retorno efectivo desde la comunidad hasta el nivel hospitalario más complejo.</w:t>
      </w:r>
    </w:p>
    <w:p w:rsidR="00081A52" w:rsidRDefault="00081A52">
      <w:pPr>
        <w:pStyle w:val="Textoindependiente"/>
        <w:spacing w:line="360" w:lineRule="auto"/>
        <w:ind w:left="360"/>
        <w:jc w:val="both"/>
        <w:rPr>
          <w:rFonts w:ascii="Times New Roman" w:hAnsi="Times New Roman"/>
          <w:bCs/>
          <w:sz w:val="24"/>
        </w:rPr>
      </w:pPr>
    </w:p>
    <w:p w:rsidR="00081A52" w:rsidRDefault="00081A52">
      <w:pPr>
        <w:pStyle w:val="Textoindependiente"/>
        <w:numPr>
          <w:ilvl w:val="0"/>
          <w:numId w:val="12"/>
        </w:numPr>
        <w:spacing w:line="360" w:lineRule="auto"/>
        <w:jc w:val="both"/>
        <w:rPr>
          <w:rFonts w:ascii="Times New Roman" w:hAnsi="Times New Roman"/>
          <w:sz w:val="24"/>
        </w:rPr>
      </w:pPr>
      <w:r>
        <w:rPr>
          <w:rFonts w:ascii="Times New Roman" w:hAnsi="Times New Roman"/>
          <w:sz w:val="24"/>
        </w:rPr>
        <w:t xml:space="preserve">Dado </w:t>
      </w:r>
      <w:smartTag w:uri="urn:schemas-microsoft-com:office:smarttags" w:element="PersonName">
        <w:smartTagPr>
          <w:attr w:name="ProductID" w:val="la Inequidad"/>
        </w:smartTagPr>
        <w:r>
          <w:rPr>
            <w:rFonts w:ascii="Times New Roman" w:hAnsi="Times New Roman"/>
            <w:sz w:val="24"/>
          </w:rPr>
          <w:t>la Inequidad</w:t>
        </w:r>
      </w:smartTag>
      <w:r>
        <w:rPr>
          <w:rFonts w:ascii="Times New Roman" w:hAnsi="Times New Roman"/>
          <w:sz w:val="24"/>
        </w:rPr>
        <w:t xml:space="preserve"> observada, en el presente estudio sobre  la utilización de los servicios de salud  y gasto de bolsillo en salud que realizan las familias para recibir servicios públicos de salud, se recomienda institucionalizar una política que beneficie la utilización de los servicios de Salud y ayude a  desarrollar estrategias  de servicios de salud que garanticen  el acceso y la calidad de los servicios de salud a las familias más pobres y especialmente las del área rural, estableciendo mecanismos de identificación de los beneficiarios, privilegiando a las personas de menores recursos económicos.</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12"/>
        </w:numPr>
        <w:spacing w:line="360" w:lineRule="auto"/>
        <w:jc w:val="both"/>
        <w:rPr>
          <w:rFonts w:ascii="Times New Roman" w:hAnsi="Times New Roman"/>
          <w:sz w:val="24"/>
        </w:rPr>
      </w:pPr>
      <w:r>
        <w:rPr>
          <w:rFonts w:ascii="Times New Roman" w:hAnsi="Times New Roman"/>
          <w:sz w:val="24"/>
        </w:rPr>
        <w:t>Con base en el análisis de los rubros que las familias realizan el gasto prioritario en salud de su bolsillo, como lo muestra el indicador numero 6 del presente estudio, mayormente es en medicamentos con la consecuente inequidad, se sugiere  Focalizar acciones hacia las familias más pobres y especialmente del área rural.  Así como también impulsar una política de acceso a medicamentos esenciales, que garantice a la población de menores recursos económicos acceso a medicamentos esenciales.</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12"/>
        </w:numPr>
        <w:spacing w:line="360" w:lineRule="auto"/>
        <w:jc w:val="both"/>
        <w:rPr>
          <w:rFonts w:ascii="Times New Roman" w:hAnsi="Times New Roman"/>
          <w:sz w:val="24"/>
        </w:rPr>
      </w:pPr>
      <w:r>
        <w:rPr>
          <w:rFonts w:ascii="Times New Roman" w:hAnsi="Times New Roman"/>
          <w:sz w:val="24"/>
        </w:rPr>
        <w:t>Desarrollar sistemáticamente campañas  de comunicación social orientadas a fomentar la utilización de los servicios de salud con equidad de género, promocionando los servicios masculinos y mejorando el acceso a servicios integrales de salud para la mujer. Esto con el propósito de desarrollar la toma de conciencia colectiva, para evitar la inequidad en la utilización y gasto en salud, especialmente de las familias pobres.</w:t>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rPr>
          <w:rFonts w:ascii="Times New Roman" w:hAnsi="Times New Roman"/>
          <w:b/>
          <w:lang w:val="en-GB"/>
        </w:rPr>
      </w:pPr>
      <w:r>
        <w:rPr>
          <w:rFonts w:ascii="Times New Roman" w:hAnsi="Times New Roman"/>
          <w:b/>
          <w:lang w:val="en-GB"/>
        </w:rPr>
        <w:lastRenderedPageBreak/>
        <w:t>B I B L I O G R A F I A</w:t>
      </w:r>
    </w:p>
    <w:p w:rsidR="00081A52" w:rsidRDefault="00081A52">
      <w:pPr>
        <w:pStyle w:val="Textoindependiente"/>
        <w:spacing w:line="360" w:lineRule="auto"/>
        <w:ind w:left="360"/>
        <w:jc w:val="both"/>
        <w:rPr>
          <w:rFonts w:ascii="Times New Roman" w:hAnsi="Times New Roman"/>
          <w:sz w:val="24"/>
          <w:lang w:val="en-GB"/>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Consejo de Reforma del Sector Salud El Salvador, C.A</w:t>
      </w:r>
      <w:r>
        <w:rPr>
          <w:rFonts w:ascii="Times New Roman" w:hAnsi="Times New Roman"/>
          <w:sz w:val="24"/>
        </w:rPr>
        <w:t>: Propuesta Integral de Salud, 15 de Diciembre 2000.</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Cruz –Saco Oyague, María Amparo:</w:t>
      </w:r>
      <w:r>
        <w:rPr>
          <w:rFonts w:ascii="Times New Roman" w:hAnsi="Times New Roman"/>
          <w:sz w:val="24"/>
        </w:rPr>
        <w:t xml:space="preserve"> Sistema de Salud en El Salvador: Diagnóstico y Lineamientos de Reforma.</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Instituto de Desarrollo del Banco Interamericano de Desarrollo:</w:t>
      </w:r>
      <w:r>
        <w:rPr>
          <w:rFonts w:ascii="Times New Roman" w:hAnsi="Times New Roman"/>
          <w:sz w:val="24"/>
        </w:rPr>
        <w:t xml:space="preserve"> Módulos de Capacitación del Curso Diseño y Gestión de Políticas y Programas Sociales.</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Klisberg, Bernardo</w:t>
      </w:r>
      <w:r>
        <w:rPr>
          <w:rFonts w:ascii="Times New Roman" w:hAnsi="Times New Roman"/>
          <w:sz w:val="24"/>
        </w:rPr>
        <w:t xml:space="preserve">: Bases Sociales de </w:t>
      </w:r>
      <w:smartTag w:uri="urn:schemas-microsoft-com:office:smarttags" w:element="PersonName">
        <w:smartTagPr>
          <w:attr w:name="ProductID" w:val="la Salud."/>
        </w:smartTagPr>
        <w:r>
          <w:rPr>
            <w:rFonts w:ascii="Times New Roman" w:hAnsi="Times New Roman"/>
            <w:sz w:val="24"/>
          </w:rPr>
          <w:t>la Salud.</w:t>
        </w:r>
      </w:smartTag>
    </w:p>
    <w:p w:rsidR="00081A52" w:rsidRDefault="00081A52">
      <w:pPr>
        <w:pStyle w:val="Textoindependiente"/>
        <w:spacing w:line="360" w:lineRule="auto"/>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López, Piura</w:t>
      </w:r>
      <w:r>
        <w:rPr>
          <w:rFonts w:ascii="Times New Roman" w:hAnsi="Times New Roman"/>
          <w:sz w:val="24"/>
        </w:rPr>
        <w:t xml:space="preserve">: Introducción a la metodología de </w:t>
      </w:r>
      <w:smartTag w:uri="urn:schemas-microsoft-com:office:smarttags" w:element="PersonName">
        <w:smartTagPr>
          <w:attr w:name="ProductID" w:val="la Investigación Científica."/>
        </w:smartTagPr>
        <w:r>
          <w:rPr>
            <w:rFonts w:ascii="Times New Roman" w:hAnsi="Times New Roman"/>
            <w:sz w:val="24"/>
          </w:rPr>
          <w:t>la Investigación Científica.</w:t>
        </w:r>
      </w:smartTag>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 xml:space="preserve">Meza Lago, Carmelo: </w:t>
      </w:r>
      <w:r>
        <w:rPr>
          <w:rFonts w:ascii="Times New Roman" w:hAnsi="Times New Roman"/>
          <w:sz w:val="24"/>
        </w:rPr>
        <w:t>Reforma del Sector Salud en El Salvador, Análisis de la propuesta del Consejo de Reforma y pautas para su seguimiento.</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Ministerio de Economía, Dirección de Estadísticas y Censos</w:t>
      </w:r>
      <w:r>
        <w:rPr>
          <w:rFonts w:ascii="Times New Roman" w:hAnsi="Times New Roman"/>
          <w:sz w:val="24"/>
        </w:rPr>
        <w:t>: Encuesta de Hogares de Propósitos Múltiples 2001.</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 xml:space="preserve">Organización Panamericana de </w:t>
      </w:r>
      <w:smartTag w:uri="urn:schemas-microsoft-com:office:smarttags" w:element="PersonName">
        <w:smartTagPr>
          <w:attr w:name="ProductID" w:val="la Salud"/>
        </w:smartTagPr>
        <w:r>
          <w:rPr>
            <w:rFonts w:ascii="Times New Roman" w:hAnsi="Times New Roman"/>
            <w:b/>
            <w:sz w:val="24"/>
          </w:rPr>
          <w:t>la Salud</w:t>
        </w:r>
      </w:smartTag>
      <w:r>
        <w:rPr>
          <w:rFonts w:ascii="Times New Roman" w:hAnsi="Times New Roman"/>
          <w:sz w:val="24"/>
        </w:rPr>
        <w:t>: Perfil del Sistema de Servicios de Salud en El Salvador,  15 de junio 2001.</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 xml:space="preserve">Organización Panamericana de </w:t>
      </w:r>
      <w:smartTag w:uri="urn:schemas-microsoft-com:office:smarttags" w:element="PersonName">
        <w:smartTagPr>
          <w:attr w:name="ProductID" w:val="la Salud"/>
        </w:smartTagPr>
        <w:r>
          <w:rPr>
            <w:rFonts w:ascii="Times New Roman" w:hAnsi="Times New Roman"/>
            <w:b/>
            <w:sz w:val="24"/>
          </w:rPr>
          <w:t>la Salud</w:t>
        </w:r>
      </w:smartTag>
      <w:r>
        <w:rPr>
          <w:rFonts w:ascii="Times New Roman" w:hAnsi="Times New Roman"/>
          <w:sz w:val="24"/>
        </w:rPr>
        <w:t>: Situación de Salud en El Salvador, 2000.</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Programa de las Naciones Unidas para el Desarrollo:</w:t>
      </w:r>
      <w:r>
        <w:rPr>
          <w:rFonts w:ascii="Times New Roman" w:hAnsi="Times New Roman"/>
          <w:sz w:val="24"/>
        </w:rPr>
        <w:t xml:space="preserve"> Informe sobre el Desarrollo Humano, El Salvador 2001.</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Rathe, Magdalena:</w:t>
      </w:r>
      <w:r>
        <w:rPr>
          <w:rFonts w:ascii="Times New Roman" w:hAnsi="Times New Roman"/>
          <w:sz w:val="24"/>
        </w:rPr>
        <w:t xml:space="preserve"> Salud y Equidad.</w:t>
      </w: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lastRenderedPageBreak/>
        <w:t xml:space="preserve">PNUD, </w:t>
      </w:r>
      <w:r>
        <w:rPr>
          <w:rFonts w:ascii="Times New Roman" w:hAnsi="Times New Roman"/>
          <w:sz w:val="24"/>
        </w:rPr>
        <w:t>Informe sobre Desarrollo Humano, El Salvador 2001.</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sz w:val="24"/>
        </w:rPr>
      </w:pPr>
      <w:r>
        <w:rPr>
          <w:rFonts w:ascii="Times New Roman" w:hAnsi="Times New Roman"/>
          <w:b/>
          <w:sz w:val="24"/>
        </w:rPr>
        <w:t xml:space="preserve">MSPAS, </w:t>
      </w:r>
      <w:r>
        <w:rPr>
          <w:rFonts w:ascii="Times New Roman" w:hAnsi="Times New Roman"/>
          <w:sz w:val="24"/>
        </w:rPr>
        <w:t>Cuentas Nacionales en Salud, Estimación del Gasto en Salud año 1998, 1999 y 2000.</w:t>
      </w: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numPr>
          <w:ilvl w:val="0"/>
          <w:numId w:val="4"/>
        </w:numPr>
        <w:spacing w:line="360" w:lineRule="auto"/>
        <w:jc w:val="both"/>
        <w:rPr>
          <w:rFonts w:ascii="Times New Roman" w:hAnsi="Times New Roman"/>
          <w:b/>
          <w:sz w:val="24"/>
        </w:rPr>
      </w:pPr>
      <w:r>
        <w:rPr>
          <w:rFonts w:ascii="Times New Roman" w:hAnsi="Times New Roman"/>
          <w:b/>
          <w:sz w:val="24"/>
        </w:rPr>
        <w:t xml:space="preserve">FESAL-98, </w:t>
      </w:r>
      <w:r>
        <w:rPr>
          <w:rFonts w:ascii="Times New Roman" w:hAnsi="Times New Roman"/>
          <w:sz w:val="24"/>
        </w:rPr>
        <w:t>Encuesta de Salud Familiar, informe final. Republica de El Salvador, C.A.</w:t>
      </w: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numPr>
          <w:ilvl w:val="0"/>
          <w:numId w:val="4"/>
        </w:numPr>
        <w:spacing w:line="360" w:lineRule="auto"/>
        <w:jc w:val="both"/>
        <w:rPr>
          <w:rFonts w:ascii="Times New Roman" w:hAnsi="Times New Roman"/>
          <w:b/>
          <w:sz w:val="24"/>
        </w:rPr>
      </w:pPr>
      <w:r>
        <w:rPr>
          <w:rFonts w:ascii="Times New Roman" w:hAnsi="Times New Roman"/>
          <w:b/>
          <w:sz w:val="24"/>
        </w:rPr>
        <w:t>Comisión Nacional de Salud</w:t>
      </w:r>
      <w:r>
        <w:rPr>
          <w:rFonts w:ascii="Times New Roman" w:hAnsi="Times New Roman"/>
          <w:bCs/>
          <w:sz w:val="24"/>
        </w:rPr>
        <w:t>, Lineamientos para la reforma de salud, El Salvador, 1998</w:t>
      </w: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numPr>
          <w:ilvl w:val="0"/>
          <w:numId w:val="4"/>
        </w:numPr>
        <w:spacing w:line="360" w:lineRule="auto"/>
        <w:jc w:val="both"/>
        <w:rPr>
          <w:rFonts w:ascii="Times New Roman" w:hAnsi="Times New Roman"/>
          <w:b/>
          <w:sz w:val="24"/>
        </w:rPr>
      </w:pPr>
      <w:r>
        <w:rPr>
          <w:rFonts w:ascii="Times New Roman" w:hAnsi="Times New Roman"/>
          <w:b/>
          <w:sz w:val="24"/>
        </w:rPr>
        <w:t>Comisión Nacional de Salud</w:t>
      </w:r>
      <w:r>
        <w:rPr>
          <w:rFonts w:ascii="Times New Roman" w:hAnsi="Times New Roman"/>
          <w:bCs/>
          <w:sz w:val="24"/>
        </w:rPr>
        <w:t>, Síntesis de la consulta realizada en el sector salud, 1998.</w:t>
      </w:r>
      <w:r>
        <w:rPr>
          <w:rFonts w:ascii="Times New Roman" w:hAnsi="Times New Roman"/>
          <w:bCs/>
          <w:sz w:val="24"/>
        </w:rPr>
        <w:br w:type="page"/>
      </w: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jc w:val="both"/>
        <w:rPr>
          <w:rFonts w:ascii="Times New Roman" w:hAnsi="Times New Roman"/>
          <w:b/>
          <w:sz w:val="24"/>
        </w:rPr>
      </w:pPr>
    </w:p>
    <w:p w:rsidR="00081A52" w:rsidRDefault="00081A52">
      <w:pPr>
        <w:pStyle w:val="Textoindependiente"/>
        <w:spacing w:line="360" w:lineRule="auto"/>
        <w:rPr>
          <w:rFonts w:ascii="Arial" w:hAnsi="Arial"/>
          <w:bCs/>
          <w:sz w:val="52"/>
          <w:lang w:val="en-GB"/>
        </w:rPr>
      </w:pPr>
      <w:r>
        <w:rPr>
          <w:rFonts w:ascii="Arial" w:hAnsi="Arial"/>
          <w:bCs/>
          <w:sz w:val="52"/>
          <w:lang w:val="en-GB"/>
        </w:rPr>
        <w:t>ANEXOS</w:t>
      </w: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jc w:val="both"/>
        <w:rPr>
          <w:rFonts w:ascii="Times New Roman" w:hAnsi="Times New Roman"/>
          <w:b/>
          <w:sz w:val="24"/>
          <w:lang w:val="en-GB"/>
        </w:rPr>
      </w:pPr>
    </w:p>
    <w:p w:rsidR="00081A52" w:rsidRDefault="00081A52">
      <w:pPr>
        <w:pStyle w:val="Textoindependiente"/>
        <w:spacing w:line="360" w:lineRule="auto"/>
        <w:ind w:left="360"/>
        <w:rPr>
          <w:rFonts w:ascii="Times New Roman" w:hAnsi="Times New Roman"/>
          <w:b/>
        </w:rPr>
      </w:pPr>
      <w:r>
        <w:rPr>
          <w:rFonts w:ascii="Times New Roman" w:hAnsi="Times New Roman"/>
          <w:b/>
        </w:rPr>
        <w:lastRenderedPageBreak/>
        <w:t>ANEXO 1</w:t>
      </w:r>
    </w:p>
    <w:p w:rsidR="00081A52" w:rsidRDefault="00081A52">
      <w:pPr>
        <w:pStyle w:val="Textoindependiente"/>
        <w:spacing w:line="360" w:lineRule="auto"/>
        <w:ind w:left="360"/>
        <w:rPr>
          <w:rFonts w:ascii="Times New Roman" w:hAnsi="Times New Roman"/>
          <w:b/>
        </w:rPr>
      </w:pPr>
      <w:r>
        <w:rPr>
          <w:rFonts w:ascii="Times New Roman" w:hAnsi="Times New Roman"/>
          <w:b/>
        </w:rPr>
        <w:t>GLOSARIO DE SIGLAS</w:t>
      </w: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BID</w:t>
      </w:r>
      <w:r>
        <w:rPr>
          <w:rFonts w:ascii="Times New Roman" w:hAnsi="Times New Roman"/>
          <w:b/>
          <w:sz w:val="24"/>
        </w:rPr>
        <w:tab/>
      </w:r>
      <w:r>
        <w:rPr>
          <w:rFonts w:ascii="Times New Roman" w:hAnsi="Times New Roman"/>
          <w:bCs/>
          <w:sz w:val="24"/>
        </w:rPr>
        <w:t xml:space="preserve"> </w:t>
      </w:r>
      <w:r>
        <w:rPr>
          <w:rFonts w:ascii="Times New Roman" w:hAnsi="Times New Roman"/>
          <w:bCs/>
          <w:sz w:val="24"/>
        </w:rPr>
        <w:tab/>
        <w:t>Banco Interamericano de desarrollo</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CONASA</w:t>
      </w:r>
      <w:r>
        <w:rPr>
          <w:rFonts w:ascii="Times New Roman" w:hAnsi="Times New Roman"/>
          <w:b/>
          <w:sz w:val="24"/>
        </w:rPr>
        <w:tab/>
      </w:r>
      <w:r>
        <w:rPr>
          <w:rFonts w:ascii="Times New Roman" w:hAnsi="Times New Roman"/>
          <w:bCs/>
          <w:sz w:val="24"/>
        </w:rPr>
        <w:t xml:space="preserve"> </w:t>
      </w:r>
      <w:r>
        <w:rPr>
          <w:rFonts w:ascii="Times New Roman" w:hAnsi="Times New Roman"/>
          <w:bCs/>
          <w:sz w:val="24"/>
        </w:rPr>
        <w:tab/>
        <w:t>Comisión Nacional de Salud</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DIGESTYC</w:t>
      </w:r>
      <w:r>
        <w:rPr>
          <w:rFonts w:ascii="Times New Roman" w:hAnsi="Times New Roman"/>
          <w:bCs/>
          <w:sz w:val="24"/>
        </w:rPr>
        <w:t xml:space="preserve">    </w:t>
      </w:r>
      <w:r>
        <w:rPr>
          <w:rFonts w:ascii="Times New Roman" w:hAnsi="Times New Roman"/>
          <w:bCs/>
          <w:sz w:val="24"/>
        </w:rPr>
        <w:tab/>
        <w:t>Dirección Nacional de Estadísticas y Censos.</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 xml:space="preserve">EHPM </w:t>
      </w:r>
      <w:r>
        <w:rPr>
          <w:rFonts w:ascii="Times New Roman" w:hAnsi="Times New Roman"/>
          <w:bCs/>
          <w:sz w:val="24"/>
        </w:rPr>
        <w:t xml:space="preserve"> </w:t>
      </w:r>
      <w:r>
        <w:rPr>
          <w:rFonts w:ascii="Times New Roman" w:hAnsi="Times New Roman"/>
          <w:bCs/>
          <w:sz w:val="24"/>
        </w:rPr>
        <w:tab/>
      </w:r>
      <w:r>
        <w:rPr>
          <w:rFonts w:ascii="Times New Roman" w:hAnsi="Times New Roman"/>
          <w:bCs/>
          <w:sz w:val="24"/>
        </w:rPr>
        <w:tab/>
        <w:t>Encuesta de Hogares de propósitos múltiples.</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FESAL</w:t>
      </w:r>
      <w:r>
        <w:rPr>
          <w:rFonts w:ascii="Times New Roman" w:hAnsi="Times New Roman"/>
          <w:bCs/>
          <w:sz w:val="24"/>
        </w:rPr>
        <w:tab/>
      </w:r>
      <w:r>
        <w:rPr>
          <w:rFonts w:ascii="Times New Roman" w:hAnsi="Times New Roman"/>
          <w:bCs/>
          <w:sz w:val="24"/>
        </w:rPr>
        <w:tab/>
        <w:t xml:space="preserve">Encuesta Nacional de Salud Familiar </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 xml:space="preserve">IDH </w:t>
      </w:r>
      <w:r>
        <w:rPr>
          <w:rFonts w:ascii="Times New Roman" w:hAnsi="Times New Roman"/>
          <w:bCs/>
          <w:sz w:val="24"/>
        </w:rPr>
        <w:tab/>
      </w:r>
      <w:r>
        <w:rPr>
          <w:rFonts w:ascii="Times New Roman" w:hAnsi="Times New Roman"/>
          <w:bCs/>
          <w:sz w:val="24"/>
        </w:rPr>
        <w:tab/>
        <w:t>Índice de Desarrollo Humano</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ISSS</w:t>
      </w:r>
      <w:r>
        <w:rPr>
          <w:rFonts w:ascii="Times New Roman" w:hAnsi="Times New Roman"/>
          <w:bCs/>
          <w:sz w:val="24"/>
        </w:rPr>
        <w:t xml:space="preserve">   </w:t>
      </w:r>
      <w:r>
        <w:rPr>
          <w:rFonts w:ascii="Times New Roman" w:hAnsi="Times New Roman"/>
          <w:bCs/>
          <w:sz w:val="24"/>
        </w:rPr>
        <w:tab/>
      </w:r>
      <w:r>
        <w:rPr>
          <w:rFonts w:ascii="Times New Roman" w:hAnsi="Times New Roman"/>
          <w:bCs/>
          <w:sz w:val="24"/>
        </w:rPr>
        <w:tab/>
        <w:t>Instituto Salvadoreño del Seguro Social.</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 xml:space="preserve">MSPAS </w:t>
      </w:r>
      <w:r>
        <w:rPr>
          <w:rFonts w:ascii="Times New Roman" w:hAnsi="Times New Roman"/>
          <w:bCs/>
          <w:sz w:val="24"/>
        </w:rPr>
        <w:tab/>
      </w:r>
      <w:r>
        <w:rPr>
          <w:rFonts w:ascii="Times New Roman" w:hAnsi="Times New Roman"/>
          <w:bCs/>
          <w:sz w:val="24"/>
        </w:rPr>
        <w:tab/>
        <w:t>Ministerio de Salud Publica y Asistencia Social</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OMS</w:t>
      </w:r>
      <w:r>
        <w:rPr>
          <w:rFonts w:ascii="Times New Roman" w:hAnsi="Times New Roman"/>
          <w:bCs/>
          <w:sz w:val="24"/>
        </w:rPr>
        <w:tab/>
      </w:r>
      <w:r>
        <w:rPr>
          <w:rFonts w:ascii="Times New Roman" w:hAnsi="Times New Roman"/>
          <w:bCs/>
          <w:sz w:val="24"/>
        </w:rPr>
        <w:tab/>
        <w:t xml:space="preserve">Organización Mundial para la salud </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ONG</w:t>
      </w:r>
      <w:r>
        <w:rPr>
          <w:rFonts w:ascii="Times New Roman" w:hAnsi="Times New Roman"/>
          <w:bCs/>
          <w:sz w:val="24"/>
        </w:rPr>
        <w:t xml:space="preserve"> </w:t>
      </w:r>
      <w:r>
        <w:rPr>
          <w:rFonts w:ascii="Times New Roman" w:hAnsi="Times New Roman"/>
          <w:bCs/>
          <w:sz w:val="24"/>
        </w:rPr>
        <w:tab/>
      </w:r>
      <w:r>
        <w:rPr>
          <w:rFonts w:ascii="Times New Roman" w:hAnsi="Times New Roman"/>
          <w:bCs/>
          <w:sz w:val="24"/>
        </w:rPr>
        <w:tab/>
        <w:t>Organizaciones No Gubernamentales.</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OPS</w:t>
      </w:r>
      <w:r>
        <w:rPr>
          <w:rFonts w:ascii="Times New Roman" w:hAnsi="Times New Roman"/>
          <w:bCs/>
          <w:sz w:val="24"/>
        </w:rPr>
        <w:t xml:space="preserve"> </w:t>
      </w:r>
      <w:r>
        <w:rPr>
          <w:rFonts w:ascii="Times New Roman" w:hAnsi="Times New Roman"/>
          <w:bCs/>
          <w:sz w:val="24"/>
        </w:rPr>
        <w:tab/>
      </w:r>
      <w:r>
        <w:rPr>
          <w:rFonts w:ascii="Times New Roman" w:hAnsi="Times New Roman"/>
          <w:bCs/>
          <w:sz w:val="24"/>
        </w:rPr>
        <w:tab/>
        <w:t xml:space="preserve">Organización Panamericana de  la salud </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PNUD</w:t>
      </w:r>
      <w:r>
        <w:rPr>
          <w:rFonts w:ascii="Times New Roman" w:hAnsi="Times New Roman"/>
          <w:bCs/>
          <w:sz w:val="24"/>
        </w:rPr>
        <w:t xml:space="preserve">  </w:t>
      </w:r>
      <w:r>
        <w:rPr>
          <w:rFonts w:ascii="Times New Roman" w:hAnsi="Times New Roman"/>
          <w:bCs/>
          <w:sz w:val="24"/>
        </w:rPr>
        <w:tab/>
      </w:r>
      <w:r>
        <w:rPr>
          <w:rFonts w:ascii="Times New Roman" w:hAnsi="Times New Roman"/>
          <w:bCs/>
          <w:sz w:val="24"/>
        </w:rPr>
        <w:tab/>
        <w:t>Programa de las Naciones Unidas para el Desarrollo.</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SIBASI</w:t>
      </w:r>
      <w:r>
        <w:rPr>
          <w:rFonts w:ascii="Times New Roman" w:hAnsi="Times New Roman"/>
          <w:bCs/>
          <w:sz w:val="24"/>
        </w:rPr>
        <w:t xml:space="preserve">  </w:t>
      </w:r>
      <w:r>
        <w:rPr>
          <w:rFonts w:ascii="Times New Roman" w:hAnsi="Times New Roman"/>
          <w:bCs/>
          <w:sz w:val="24"/>
        </w:rPr>
        <w:tab/>
      </w:r>
      <w:r>
        <w:rPr>
          <w:rFonts w:ascii="Times New Roman" w:hAnsi="Times New Roman"/>
          <w:bCs/>
          <w:sz w:val="24"/>
        </w:rPr>
        <w:tab/>
        <w:t>Sistemas Básicos de Salud Integral.</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UES</w:t>
      </w:r>
      <w:r>
        <w:rPr>
          <w:rFonts w:ascii="Times New Roman" w:hAnsi="Times New Roman"/>
          <w:bCs/>
          <w:sz w:val="24"/>
        </w:rPr>
        <w:t xml:space="preserve">  </w:t>
      </w:r>
      <w:r>
        <w:rPr>
          <w:rFonts w:ascii="Times New Roman" w:hAnsi="Times New Roman"/>
          <w:bCs/>
          <w:sz w:val="24"/>
        </w:rPr>
        <w:tab/>
      </w:r>
      <w:r>
        <w:rPr>
          <w:rFonts w:ascii="Times New Roman" w:hAnsi="Times New Roman"/>
          <w:bCs/>
          <w:sz w:val="24"/>
        </w:rPr>
        <w:tab/>
        <w:t>Universidad de El Salvador.</w:t>
      </w:r>
    </w:p>
    <w:p w:rsidR="00081A52" w:rsidRDefault="00081A52">
      <w:pPr>
        <w:pStyle w:val="Textoindependiente"/>
        <w:numPr>
          <w:ilvl w:val="0"/>
          <w:numId w:val="11"/>
        </w:numPr>
        <w:spacing w:line="480" w:lineRule="auto"/>
        <w:ind w:left="1077" w:hanging="357"/>
        <w:jc w:val="both"/>
        <w:rPr>
          <w:rFonts w:ascii="Times New Roman" w:hAnsi="Times New Roman"/>
          <w:bCs/>
          <w:sz w:val="24"/>
        </w:rPr>
      </w:pPr>
      <w:r>
        <w:rPr>
          <w:rFonts w:ascii="Times New Roman" w:hAnsi="Times New Roman"/>
          <w:b/>
          <w:sz w:val="24"/>
        </w:rPr>
        <w:t>USAID</w:t>
      </w:r>
      <w:r>
        <w:rPr>
          <w:rFonts w:ascii="Times New Roman" w:hAnsi="Times New Roman"/>
          <w:b/>
          <w:sz w:val="24"/>
        </w:rPr>
        <w:tab/>
      </w:r>
      <w:r>
        <w:rPr>
          <w:rFonts w:ascii="Times New Roman" w:hAnsi="Times New Roman"/>
          <w:b/>
          <w:sz w:val="24"/>
        </w:rPr>
        <w:tab/>
      </w:r>
      <w:r>
        <w:rPr>
          <w:rFonts w:ascii="Times New Roman" w:hAnsi="Times New Roman"/>
          <w:bCs/>
          <w:sz w:val="24"/>
        </w:rPr>
        <w:t>Agencia de los Estados Unidos para el desarrollo</w:t>
      </w:r>
    </w:p>
    <w:p w:rsidR="00081A52" w:rsidRDefault="00081A52">
      <w:pPr>
        <w:pStyle w:val="Textoindependiente"/>
        <w:spacing w:line="480" w:lineRule="auto"/>
        <w:ind w:left="2136" w:firstLine="696"/>
        <w:jc w:val="both"/>
        <w:rPr>
          <w:rFonts w:ascii="Times New Roman" w:hAnsi="Times New Roman"/>
          <w:bCs/>
          <w:sz w:val="24"/>
        </w:rPr>
      </w:pPr>
      <w:r>
        <w:rPr>
          <w:rFonts w:ascii="Times New Roman" w:hAnsi="Times New Roman"/>
          <w:bCs/>
          <w:sz w:val="24"/>
        </w:rPr>
        <w:t>Internacional.</w:t>
      </w: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spacing w:line="360" w:lineRule="auto"/>
        <w:ind w:left="360"/>
        <w:jc w:val="both"/>
        <w:rPr>
          <w:rFonts w:ascii="Times New Roman" w:hAnsi="Times New Roman"/>
          <w:b/>
          <w:sz w:val="24"/>
        </w:rPr>
      </w:pPr>
    </w:p>
    <w:p w:rsidR="00081A52" w:rsidRDefault="00081A52">
      <w:pPr>
        <w:pStyle w:val="Textoindependiente"/>
        <w:spacing w:line="360" w:lineRule="auto"/>
        <w:ind w:left="360"/>
        <w:rPr>
          <w:rFonts w:ascii="Times New Roman" w:hAnsi="Times New Roman"/>
          <w:b/>
        </w:rPr>
      </w:pPr>
      <w:r>
        <w:rPr>
          <w:rFonts w:ascii="Times New Roman" w:hAnsi="Times New Roman"/>
          <w:b/>
        </w:rPr>
        <w:lastRenderedPageBreak/>
        <w:t>ANEXO 2</w:t>
      </w:r>
    </w:p>
    <w:p w:rsidR="00081A52" w:rsidRDefault="00081A52">
      <w:pPr>
        <w:pStyle w:val="Textoindependiente"/>
        <w:spacing w:line="360" w:lineRule="auto"/>
        <w:ind w:left="360"/>
        <w:rPr>
          <w:rFonts w:ascii="Times New Roman" w:hAnsi="Times New Roman"/>
          <w:b/>
          <w:sz w:val="32"/>
        </w:rPr>
      </w:pPr>
      <w:r>
        <w:rPr>
          <w:rFonts w:ascii="Times New Roman" w:hAnsi="Times New Roman"/>
          <w:b/>
        </w:rPr>
        <w:t>GLOSARIO DE TERMINOS</w:t>
      </w:r>
    </w:p>
    <w:p w:rsidR="00081A52" w:rsidRDefault="00081A52">
      <w:pPr>
        <w:pStyle w:val="Ttulo2"/>
        <w:numPr>
          <w:ilvl w:val="0"/>
          <w:numId w:val="20"/>
        </w:numPr>
        <w:spacing w:line="360" w:lineRule="auto"/>
        <w:jc w:val="both"/>
        <w:rPr>
          <w:rFonts w:ascii="Times New Roman" w:hAnsi="Times New Roman" w:cs="Times New Roman"/>
          <w:i w:val="0"/>
          <w:iCs w:val="0"/>
          <w:sz w:val="24"/>
        </w:rPr>
      </w:pPr>
      <w:r>
        <w:rPr>
          <w:rFonts w:ascii="Times New Roman" w:hAnsi="Times New Roman" w:cs="Times New Roman"/>
          <w:i w:val="0"/>
          <w:iCs w:val="0"/>
          <w:sz w:val="24"/>
        </w:rPr>
        <w:t>COBERTURA UNIVERSAL</w:t>
      </w:r>
    </w:p>
    <w:p w:rsidR="00081A52" w:rsidRDefault="00081A52">
      <w:pPr>
        <w:spacing w:line="360" w:lineRule="auto"/>
        <w:jc w:val="both"/>
        <w:rPr>
          <w:sz w:val="24"/>
          <w:szCs w:val="24"/>
        </w:rPr>
      </w:pPr>
      <w:r>
        <w:rPr>
          <w:sz w:val="24"/>
          <w:szCs w:val="24"/>
        </w:rPr>
        <w:t>Estrategia que permitirá a toda la población, acceder a los servicios de salud, independientemente de su nivel económico, sexo, edad, religión o condición de salud.</w:t>
      </w: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t>CONSEJO</w:t>
      </w:r>
    </w:p>
    <w:p w:rsidR="00081A52" w:rsidRDefault="00081A52">
      <w:pPr>
        <w:spacing w:line="360" w:lineRule="auto"/>
        <w:jc w:val="both"/>
        <w:rPr>
          <w:sz w:val="24"/>
          <w:szCs w:val="24"/>
        </w:rPr>
      </w:pPr>
      <w:r>
        <w:rPr>
          <w:sz w:val="24"/>
          <w:szCs w:val="24"/>
        </w:rPr>
        <w:t>Grupo colegiado de personas que se reúnen para deliberar sobre aspectos concretos y tomar decisiones.</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t>CONTROL</w:t>
      </w:r>
    </w:p>
    <w:p w:rsidR="00081A52" w:rsidRDefault="00081A52">
      <w:pPr>
        <w:spacing w:line="360" w:lineRule="auto"/>
        <w:jc w:val="both"/>
        <w:rPr>
          <w:sz w:val="24"/>
          <w:szCs w:val="24"/>
        </w:rPr>
      </w:pPr>
      <w:r>
        <w:rPr>
          <w:sz w:val="24"/>
          <w:szCs w:val="24"/>
        </w:rPr>
        <w:t>Sistema que permite conocer las realizaciones, comparadas con los estándares de realización esperados de un plan, programa o actividad, en un momento dado.  Se ejerce antes (ex-ante), durante y después (ex-post) de realizar un proyecto.</w:t>
      </w:r>
    </w:p>
    <w:p w:rsidR="00081A52" w:rsidRDefault="00081A52">
      <w:pPr>
        <w:spacing w:line="360" w:lineRule="auto"/>
        <w:jc w:val="both"/>
        <w:rPr>
          <w:b/>
          <w:sz w:val="24"/>
          <w:szCs w:val="24"/>
        </w:rPr>
      </w:pPr>
    </w:p>
    <w:p w:rsidR="00081A52" w:rsidRDefault="00081A52">
      <w:pPr>
        <w:numPr>
          <w:ilvl w:val="0"/>
          <w:numId w:val="20"/>
        </w:numPr>
        <w:spacing w:line="360" w:lineRule="auto"/>
        <w:jc w:val="both"/>
        <w:rPr>
          <w:b/>
          <w:sz w:val="24"/>
          <w:szCs w:val="24"/>
        </w:rPr>
      </w:pPr>
      <w:r>
        <w:rPr>
          <w:b/>
          <w:sz w:val="24"/>
          <w:szCs w:val="24"/>
        </w:rPr>
        <w:t>COORDINACIÓN</w:t>
      </w:r>
    </w:p>
    <w:p w:rsidR="00081A52" w:rsidRDefault="00081A52">
      <w:pPr>
        <w:spacing w:line="360" w:lineRule="auto"/>
        <w:jc w:val="both"/>
      </w:pPr>
      <w:r>
        <w:rPr>
          <w:sz w:val="24"/>
        </w:rPr>
        <w:t>Acto de conducir personas, información o cosas distintas a una acción o condición comunes.  Actuación armónica</w:t>
      </w:r>
      <w:r>
        <w:t>.</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t>DESCENTRALIZACIÓN</w:t>
      </w:r>
    </w:p>
    <w:p w:rsidR="00081A52" w:rsidRDefault="00081A52">
      <w:pPr>
        <w:pStyle w:val="Textoindependiente2"/>
        <w:spacing w:line="360" w:lineRule="auto"/>
        <w:rPr>
          <w:rFonts w:ascii="Times New Roman" w:hAnsi="Times New Roman"/>
          <w:szCs w:val="24"/>
        </w:rPr>
      </w:pPr>
      <w:r>
        <w:rPr>
          <w:rFonts w:ascii="Times New Roman" w:hAnsi="Times New Roman"/>
          <w:szCs w:val="24"/>
        </w:rPr>
        <w:t>Estrategia mediante la cual se trasladan responsabilidades, recursos y autoridad  del centro hacia la periferia de la organización con el propósito de simplificar la estructura central, agilizar el funcionamiento y obtener eficiencia y eficacia en la prestación de servicios.</w:t>
      </w: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t>EFICACIA</w:t>
      </w:r>
    </w:p>
    <w:p w:rsidR="00081A52" w:rsidRDefault="00081A52">
      <w:pPr>
        <w:spacing w:line="360" w:lineRule="auto"/>
        <w:jc w:val="both"/>
        <w:rPr>
          <w:sz w:val="24"/>
          <w:szCs w:val="24"/>
        </w:rPr>
      </w:pPr>
      <w:r>
        <w:rPr>
          <w:sz w:val="24"/>
          <w:szCs w:val="24"/>
        </w:rPr>
        <w:t>Los servicios de salud deben causar satisfacción verdadera a las necesidades de la población.  El Estado debe propiciar y facilitar el empleo de mecanismos de garantía de calidad de la atención en salud.</w:t>
      </w:r>
    </w:p>
    <w:p w:rsidR="00081A52" w:rsidRDefault="00081A52">
      <w:pPr>
        <w:spacing w:line="360" w:lineRule="auto"/>
        <w:jc w:val="both"/>
        <w:rPr>
          <w:sz w:val="24"/>
          <w:szCs w:val="24"/>
        </w:rPr>
      </w:pP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lastRenderedPageBreak/>
        <w:t>EFICIENCIA</w:t>
      </w:r>
    </w:p>
    <w:p w:rsidR="00081A52" w:rsidRDefault="00081A52">
      <w:pPr>
        <w:spacing w:line="360" w:lineRule="auto"/>
        <w:jc w:val="both"/>
        <w:rPr>
          <w:sz w:val="24"/>
          <w:szCs w:val="24"/>
        </w:rPr>
      </w:pPr>
      <w:r>
        <w:rPr>
          <w:sz w:val="24"/>
          <w:szCs w:val="24"/>
        </w:rPr>
        <w:t>Los servicios de salud deben proveerse, haciendo un uso racional de los recursos disponibles y empleando la tecnología apropiada a las necesidades de la población y a las posibilidades del país.</w:t>
      </w: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t>EQUIDAD</w:t>
      </w:r>
    </w:p>
    <w:p w:rsidR="00081A52" w:rsidRDefault="00081A52">
      <w:pPr>
        <w:spacing w:line="360" w:lineRule="auto"/>
        <w:jc w:val="both"/>
        <w:rPr>
          <w:sz w:val="24"/>
          <w:szCs w:val="24"/>
        </w:rPr>
      </w:pPr>
      <w:r>
        <w:rPr>
          <w:sz w:val="24"/>
          <w:szCs w:val="24"/>
        </w:rPr>
        <w:t>Distribución de bienes y servicios a la población en función de sus necesidades priorizando a los menos favorecidos.</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t>EVALUACIÓN</w:t>
      </w:r>
    </w:p>
    <w:p w:rsidR="00081A52" w:rsidRDefault="00081A52">
      <w:pPr>
        <w:spacing w:line="360" w:lineRule="auto"/>
        <w:jc w:val="both"/>
        <w:rPr>
          <w:sz w:val="24"/>
          <w:szCs w:val="24"/>
        </w:rPr>
      </w:pPr>
      <w:r>
        <w:rPr>
          <w:sz w:val="24"/>
          <w:szCs w:val="24"/>
        </w:rPr>
        <w:t>Acto de enjuiciar racionalmente una situación concreta, determinado y analizando elementos, causas y efectos de actuaciones y resultados, comparados con modelos o estándares de comportamiento.  Implica diseño de medidas y estrategias alternativas de corrección.  Se ejerce antes (ex-ante) durante y después (ex-post) de realizar un proyecto.</w:t>
      </w:r>
    </w:p>
    <w:p w:rsidR="00081A52" w:rsidRDefault="00081A52">
      <w:pPr>
        <w:spacing w:line="360" w:lineRule="auto"/>
        <w:jc w:val="both"/>
        <w:rPr>
          <w:b/>
          <w:sz w:val="24"/>
          <w:szCs w:val="24"/>
        </w:rPr>
      </w:pPr>
    </w:p>
    <w:p w:rsidR="00081A52" w:rsidRDefault="00081A52">
      <w:pPr>
        <w:numPr>
          <w:ilvl w:val="0"/>
          <w:numId w:val="20"/>
        </w:numPr>
        <w:spacing w:line="360" w:lineRule="auto"/>
        <w:jc w:val="both"/>
        <w:rPr>
          <w:b/>
          <w:sz w:val="24"/>
          <w:szCs w:val="24"/>
        </w:rPr>
      </w:pPr>
      <w:r>
        <w:rPr>
          <w:b/>
          <w:sz w:val="24"/>
          <w:szCs w:val="24"/>
        </w:rPr>
        <w:t>FOCALIZACIÓN</w:t>
      </w:r>
    </w:p>
    <w:p w:rsidR="00081A52" w:rsidRDefault="00081A52">
      <w:pPr>
        <w:spacing w:line="360" w:lineRule="auto"/>
        <w:jc w:val="both"/>
        <w:rPr>
          <w:sz w:val="24"/>
          <w:szCs w:val="24"/>
        </w:rPr>
      </w:pPr>
      <w:r>
        <w:rPr>
          <w:sz w:val="24"/>
          <w:szCs w:val="24"/>
        </w:rPr>
        <w:t>Propósito de aquellas iniciativas, estrategias, condiciones e instrumentos con los cuales un gobierno o un sector del gobierno busca dirigir y concentrar sus recursos en las poblaciones más desprotegidas, vulnerables y pobres.</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t>MARCO JURÍDICO</w:t>
      </w:r>
    </w:p>
    <w:p w:rsidR="00081A52" w:rsidRDefault="00081A52">
      <w:pPr>
        <w:spacing w:line="360" w:lineRule="auto"/>
        <w:jc w:val="both"/>
        <w:rPr>
          <w:b/>
          <w:sz w:val="24"/>
          <w:szCs w:val="24"/>
        </w:rPr>
      </w:pPr>
      <w:r>
        <w:rPr>
          <w:sz w:val="24"/>
          <w:szCs w:val="24"/>
        </w:rPr>
        <w:t>Conjunto de disposiciones legales que norman el funcionamiento de una organización.</w:t>
      </w: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t>MODELO DE ATENCIÓN</w:t>
      </w:r>
    </w:p>
    <w:p w:rsidR="00081A52" w:rsidRDefault="00081A52">
      <w:pPr>
        <w:spacing w:line="360" w:lineRule="auto"/>
        <w:jc w:val="both"/>
        <w:rPr>
          <w:sz w:val="24"/>
          <w:szCs w:val="24"/>
        </w:rPr>
      </w:pPr>
      <w:r>
        <w:rPr>
          <w:sz w:val="24"/>
          <w:szCs w:val="24"/>
        </w:rPr>
        <w:t>Plan de beneficios o conjunto de servicios de salud, que se ofrecen a la población por parte de los diferentes proveedores.</w:t>
      </w: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t>MODELO DE FINANCIAMIENTO</w:t>
      </w:r>
    </w:p>
    <w:p w:rsidR="00081A52" w:rsidRDefault="00081A52">
      <w:pPr>
        <w:spacing w:line="360" w:lineRule="auto"/>
        <w:jc w:val="both"/>
        <w:rPr>
          <w:sz w:val="24"/>
          <w:szCs w:val="24"/>
        </w:rPr>
      </w:pPr>
      <w:r>
        <w:rPr>
          <w:sz w:val="24"/>
          <w:szCs w:val="24"/>
        </w:rPr>
        <w:t xml:space="preserve">Conjunto de disposiciones normativas e instancias administrativas que apoyan y promueven el cumplimiento de los principios de solidaridad y equidad en el Sistema Nacional de Salud, de  manera que el gobierno, la empresa privada y los ciudadanos participen en el </w:t>
      </w:r>
      <w:r>
        <w:rPr>
          <w:sz w:val="24"/>
          <w:szCs w:val="24"/>
        </w:rPr>
        <w:lastRenderedPageBreak/>
        <w:t>financiamiento del sistema de acuerdo a sus responsabilidades y capacidades y que la asignación de los recursos se realice en función de las necesidades de la población, y con prioridad en los grupos poblacionales desposeídos.</w:t>
      </w: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t>MODELO DE GESTIÓN</w:t>
      </w:r>
    </w:p>
    <w:p w:rsidR="00081A52" w:rsidRDefault="00081A52">
      <w:pPr>
        <w:spacing w:line="360" w:lineRule="auto"/>
        <w:jc w:val="both"/>
        <w:rPr>
          <w:sz w:val="24"/>
          <w:szCs w:val="24"/>
        </w:rPr>
      </w:pPr>
      <w:r>
        <w:rPr>
          <w:sz w:val="24"/>
          <w:szCs w:val="24"/>
        </w:rPr>
        <w:t xml:space="preserve">Conjunto de principios y normas técnicas administrativas que orientan y rigen la forma de administración de una organización y el desarrollo de las funciones asignados a los elementos que la integran. </w:t>
      </w: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t>MODELO DE PROVISIÓN</w:t>
      </w:r>
    </w:p>
    <w:p w:rsidR="00081A52" w:rsidRDefault="00081A52">
      <w:pPr>
        <w:spacing w:line="360" w:lineRule="auto"/>
        <w:jc w:val="both"/>
        <w:rPr>
          <w:sz w:val="24"/>
          <w:szCs w:val="24"/>
        </w:rPr>
      </w:pPr>
      <w:r>
        <w:rPr>
          <w:sz w:val="24"/>
          <w:szCs w:val="24"/>
        </w:rPr>
        <w:t>Es el conjunto de modalidades alternativas para la entrega de servicios de salud a la población, con cobertura universal.</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t>NIVEL DE POBREZA</w:t>
      </w:r>
    </w:p>
    <w:p w:rsidR="00081A52" w:rsidRDefault="00081A52">
      <w:pPr>
        <w:spacing w:line="360" w:lineRule="auto"/>
        <w:jc w:val="both"/>
        <w:rPr>
          <w:sz w:val="24"/>
          <w:szCs w:val="24"/>
        </w:rPr>
      </w:pPr>
      <w:r>
        <w:rPr>
          <w:sz w:val="24"/>
          <w:szCs w:val="24"/>
        </w:rPr>
        <w:t>Límite establecido al comparar el nivel de ingresos de los hogares con el costo de la canasta básica alimentaría y la canasta ampliada (dos veces el costo de la canasta básica</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t>PARTICIPACIÓN CIUDADANA EFECTIVA</w:t>
      </w:r>
    </w:p>
    <w:p w:rsidR="00081A52" w:rsidRDefault="00081A52">
      <w:pPr>
        <w:pStyle w:val="Textoindependiente2"/>
        <w:spacing w:line="360" w:lineRule="auto"/>
        <w:rPr>
          <w:rFonts w:ascii="Times New Roman" w:hAnsi="Times New Roman"/>
        </w:rPr>
      </w:pPr>
      <w:r>
        <w:rPr>
          <w:rFonts w:ascii="Times New Roman" w:hAnsi="Times New Roman"/>
        </w:rPr>
        <w:t>Es la participación activa y consciente de la población en la detección de necesidades y priorización de soluciones a los problemas de salud para apoyar la gestión de los servicios a nivel de la comunidad.</w:t>
      </w:r>
    </w:p>
    <w:p w:rsidR="00081A52" w:rsidRDefault="00081A52">
      <w:pPr>
        <w:pStyle w:val="Textoindependiente2"/>
        <w:spacing w:line="360" w:lineRule="auto"/>
        <w:rPr>
          <w:rFonts w:ascii="Times New Roman" w:hAnsi="Times New Roman"/>
        </w:rPr>
      </w:pPr>
    </w:p>
    <w:p w:rsidR="00081A52" w:rsidRDefault="00081A52">
      <w:pPr>
        <w:numPr>
          <w:ilvl w:val="0"/>
          <w:numId w:val="20"/>
        </w:numPr>
        <w:spacing w:line="360" w:lineRule="auto"/>
        <w:jc w:val="both"/>
        <w:rPr>
          <w:b/>
          <w:sz w:val="24"/>
          <w:szCs w:val="24"/>
        </w:rPr>
      </w:pPr>
      <w:r>
        <w:rPr>
          <w:b/>
          <w:sz w:val="24"/>
          <w:szCs w:val="24"/>
        </w:rPr>
        <w:t>PLURALISMO</w:t>
      </w:r>
    </w:p>
    <w:p w:rsidR="00081A52" w:rsidRDefault="00081A52">
      <w:pPr>
        <w:spacing w:line="360" w:lineRule="auto"/>
        <w:jc w:val="both"/>
        <w:rPr>
          <w:sz w:val="24"/>
          <w:szCs w:val="24"/>
        </w:rPr>
      </w:pPr>
      <w:r>
        <w:rPr>
          <w:sz w:val="24"/>
          <w:szCs w:val="24"/>
        </w:rPr>
        <w:t>Oportunidad de participación de todos los actores sectoriales y de la ciudadanía en el proceso de planeación, organización, financiamiento, ejecución y control de las políticas de salud.</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t>POBREZA ABSOLUTA</w:t>
      </w:r>
    </w:p>
    <w:p w:rsidR="00081A52" w:rsidRDefault="00081A52">
      <w:pPr>
        <w:spacing w:line="360" w:lineRule="auto"/>
        <w:jc w:val="both"/>
        <w:rPr>
          <w:sz w:val="24"/>
          <w:szCs w:val="24"/>
        </w:rPr>
      </w:pPr>
      <w:r>
        <w:rPr>
          <w:sz w:val="24"/>
          <w:szCs w:val="24"/>
        </w:rPr>
        <w:t>Se encuentran ubicados en esta situación aquellos hogares cuyos ingresos son menores que el costo de la canasta básica alimentaría, la cual es diferenciada por área de residencia.</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lastRenderedPageBreak/>
        <w:t>POBREZA RELATIVA</w:t>
      </w:r>
    </w:p>
    <w:p w:rsidR="00081A52" w:rsidRDefault="00081A52">
      <w:pPr>
        <w:spacing w:line="360" w:lineRule="auto"/>
        <w:jc w:val="both"/>
        <w:rPr>
          <w:sz w:val="24"/>
          <w:szCs w:val="24"/>
        </w:rPr>
      </w:pPr>
      <w:r>
        <w:rPr>
          <w:sz w:val="24"/>
          <w:szCs w:val="24"/>
        </w:rPr>
        <w:t>Aquellos hogares cuyos ingresos son mayores que el costo de la canasta básica alimentaria, pero son menores que el costo de la canasta ampliada.</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t>POLÍTICA</w:t>
      </w:r>
    </w:p>
    <w:p w:rsidR="00081A52" w:rsidRDefault="00081A52">
      <w:pPr>
        <w:spacing w:line="360" w:lineRule="auto"/>
        <w:jc w:val="both"/>
        <w:rPr>
          <w:sz w:val="24"/>
          <w:szCs w:val="24"/>
        </w:rPr>
      </w:pPr>
      <w:r>
        <w:rPr>
          <w:sz w:val="24"/>
          <w:szCs w:val="24"/>
        </w:rPr>
        <w:t>Expresión formal o virtual del poder político acerca de la forma como se dará satisfacción a las necesidades de la población. “Es el arte de hacer posible, lo deseable”</w:t>
      </w: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t>PRIMER NIVEL DE ATENCION</w:t>
      </w:r>
    </w:p>
    <w:p w:rsidR="00081A52" w:rsidRDefault="00081A52">
      <w:pPr>
        <w:spacing w:line="360" w:lineRule="auto"/>
        <w:jc w:val="both"/>
        <w:rPr>
          <w:sz w:val="24"/>
          <w:szCs w:val="24"/>
        </w:rPr>
      </w:pPr>
      <w:r>
        <w:rPr>
          <w:sz w:val="24"/>
          <w:szCs w:val="24"/>
        </w:rPr>
        <w:t>Conjunto de instituciones que proporcionan atención simplificada de salud a la población.  Comprende las Unidades de Salud, Casas de Salud, Dispensarios y Centros Rurales de Nutrición.</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t xml:space="preserve">PROMOCIÓN DE </w:t>
      </w:r>
      <w:smartTag w:uri="urn:schemas-microsoft-com:office:smarttags" w:element="PersonName">
        <w:smartTagPr>
          <w:attr w:name="ProductID" w:val="la Salud"/>
        </w:smartTagPr>
        <w:r>
          <w:rPr>
            <w:b/>
            <w:sz w:val="24"/>
            <w:szCs w:val="24"/>
          </w:rPr>
          <w:t>LA SALUD</w:t>
        </w:r>
      </w:smartTag>
    </w:p>
    <w:p w:rsidR="00081A52" w:rsidRDefault="00081A52">
      <w:pPr>
        <w:spacing w:line="360" w:lineRule="auto"/>
        <w:jc w:val="both"/>
        <w:rPr>
          <w:sz w:val="24"/>
          <w:szCs w:val="24"/>
        </w:rPr>
      </w:pPr>
      <w:r>
        <w:rPr>
          <w:sz w:val="24"/>
          <w:szCs w:val="24"/>
        </w:rPr>
        <w:t>Estrategia que involucra a individuos, familias, comunidades y sociedad en un proceso de cambio hacia el mejoramiento de las condiciones de la salud, como componente de la calidad de vida.</w:t>
      </w:r>
    </w:p>
    <w:p w:rsidR="00081A52" w:rsidRDefault="00081A52">
      <w:pPr>
        <w:spacing w:line="360" w:lineRule="auto"/>
        <w:jc w:val="both"/>
        <w:rPr>
          <w:b/>
          <w:sz w:val="24"/>
          <w:szCs w:val="24"/>
        </w:rPr>
      </w:pPr>
    </w:p>
    <w:p w:rsidR="00081A52" w:rsidRDefault="00081A52">
      <w:pPr>
        <w:numPr>
          <w:ilvl w:val="0"/>
          <w:numId w:val="20"/>
        </w:numPr>
        <w:spacing w:line="360" w:lineRule="auto"/>
        <w:jc w:val="both"/>
        <w:rPr>
          <w:b/>
          <w:sz w:val="24"/>
          <w:szCs w:val="24"/>
        </w:rPr>
      </w:pPr>
      <w:r>
        <w:rPr>
          <w:b/>
          <w:sz w:val="24"/>
          <w:szCs w:val="24"/>
        </w:rPr>
        <w:t>REFORMA DE SALUD</w:t>
      </w:r>
    </w:p>
    <w:p w:rsidR="00081A52" w:rsidRDefault="00081A52">
      <w:pPr>
        <w:spacing w:line="360" w:lineRule="auto"/>
        <w:jc w:val="both"/>
        <w:rPr>
          <w:sz w:val="24"/>
          <w:szCs w:val="24"/>
        </w:rPr>
      </w:pPr>
      <w:r>
        <w:rPr>
          <w:sz w:val="24"/>
          <w:szCs w:val="24"/>
        </w:rPr>
        <w:t>Es un proceso orientado a introducir cambios sustantivos en las diferentes instancias y funciones del Sector con el propósito de aumentar la equidad en sus prestaciones, la eficiencia en su gestión y la efectividad de sus actuaciones y con ello lograr la satisfacción de las necesidades de salud de una población.</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t>ROL REGULADOR</w:t>
      </w:r>
    </w:p>
    <w:p w:rsidR="00081A52" w:rsidRDefault="00081A52">
      <w:pPr>
        <w:spacing w:line="360" w:lineRule="auto"/>
        <w:jc w:val="both"/>
        <w:rPr>
          <w:sz w:val="24"/>
          <w:szCs w:val="24"/>
        </w:rPr>
      </w:pPr>
      <w:r>
        <w:rPr>
          <w:sz w:val="24"/>
          <w:szCs w:val="24"/>
        </w:rPr>
        <w:t>Función que se ejerce a través de un conjunto de leyes, decretos, reglamentos, circulares, normas y otros instrumentos que permiten el diseño, evaluación, control y monitoreo de procesos técnicos y administrativos propios del Sistema de Salud en los subsistemas públicos, privados y otros, con el fin de lograr un mejoramiento continuo del nivel de salud de la población.</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lastRenderedPageBreak/>
        <w:t>SEGUNDO NIVEL DE ATENCION</w:t>
      </w:r>
    </w:p>
    <w:p w:rsidR="00081A52" w:rsidRDefault="00081A52">
      <w:pPr>
        <w:spacing w:line="360" w:lineRule="auto"/>
        <w:jc w:val="both"/>
        <w:rPr>
          <w:sz w:val="24"/>
          <w:szCs w:val="24"/>
        </w:rPr>
      </w:pPr>
      <w:r>
        <w:rPr>
          <w:sz w:val="24"/>
          <w:szCs w:val="24"/>
        </w:rPr>
        <w:t>Conjunto de instituciones que proporcionan atención de salud ambulatoria y de hospitalización en las cuatro especialidades: Pediatría, Medicina Interna, Cirugía General  y Gineco-obstetricia.</w:t>
      </w:r>
    </w:p>
    <w:p w:rsidR="00081A52" w:rsidRDefault="00081A52">
      <w:pPr>
        <w:spacing w:line="360" w:lineRule="auto"/>
        <w:jc w:val="both"/>
        <w:rPr>
          <w:sz w:val="24"/>
          <w:szCs w:val="24"/>
        </w:rPr>
      </w:pPr>
    </w:p>
    <w:p w:rsidR="00081A52" w:rsidRDefault="00081A52">
      <w:pPr>
        <w:numPr>
          <w:ilvl w:val="0"/>
          <w:numId w:val="20"/>
        </w:numPr>
        <w:spacing w:line="360" w:lineRule="auto"/>
        <w:jc w:val="both"/>
        <w:rPr>
          <w:b/>
          <w:sz w:val="24"/>
          <w:szCs w:val="24"/>
        </w:rPr>
      </w:pPr>
      <w:r>
        <w:rPr>
          <w:b/>
          <w:sz w:val="24"/>
          <w:szCs w:val="24"/>
        </w:rPr>
        <w:t>SEGURO DE SALUD UNIVERSAL</w:t>
      </w:r>
    </w:p>
    <w:p w:rsidR="00081A52" w:rsidRDefault="00081A52">
      <w:pPr>
        <w:spacing w:line="360" w:lineRule="auto"/>
        <w:jc w:val="both"/>
        <w:rPr>
          <w:sz w:val="24"/>
          <w:szCs w:val="24"/>
        </w:rPr>
      </w:pPr>
      <w:r>
        <w:rPr>
          <w:sz w:val="24"/>
          <w:szCs w:val="24"/>
        </w:rPr>
        <w:t>Estrategia a través de la cual toda la población garantiza su acceso a los servicios de salud.</w:t>
      </w:r>
    </w:p>
    <w:p w:rsidR="00081A52" w:rsidRDefault="00081A52">
      <w:pPr>
        <w:spacing w:line="360" w:lineRule="auto"/>
        <w:jc w:val="both"/>
        <w:rPr>
          <w:b/>
          <w:sz w:val="24"/>
          <w:szCs w:val="24"/>
        </w:rPr>
      </w:pPr>
    </w:p>
    <w:p w:rsidR="00081A52" w:rsidRDefault="00081A52">
      <w:pPr>
        <w:numPr>
          <w:ilvl w:val="0"/>
          <w:numId w:val="20"/>
        </w:numPr>
        <w:spacing w:line="360" w:lineRule="auto"/>
        <w:jc w:val="both"/>
        <w:rPr>
          <w:b/>
          <w:sz w:val="24"/>
          <w:szCs w:val="24"/>
        </w:rPr>
      </w:pPr>
      <w:r>
        <w:rPr>
          <w:b/>
          <w:sz w:val="24"/>
          <w:szCs w:val="24"/>
        </w:rPr>
        <w:t>SISTEMA DE SALUD</w:t>
      </w:r>
    </w:p>
    <w:p w:rsidR="00081A52" w:rsidRDefault="00081A52">
      <w:pPr>
        <w:spacing w:line="360" w:lineRule="auto"/>
        <w:jc w:val="both"/>
        <w:rPr>
          <w:sz w:val="24"/>
          <w:szCs w:val="24"/>
        </w:rPr>
      </w:pPr>
      <w:r>
        <w:rPr>
          <w:sz w:val="24"/>
          <w:szCs w:val="24"/>
        </w:rPr>
        <w:t>Un todo coherente, compuesto de instituciones relacionadas entre sí, tanto sectoriales como intersectoriales, además de la propia comunidad y que produce un efecto combinado en la salud de la población</w:t>
      </w:r>
    </w:p>
    <w:p w:rsidR="00081A52" w:rsidRDefault="00081A52">
      <w:pPr>
        <w:spacing w:line="360" w:lineRule="auto"/>
        <w:jc w:val="both"/>
        <w:rPr>
          <w:b/>
          <w:sz w:val="24"/>
          <w:szCs w:val="24"/>
        </w:rPr>
      </w:pPr>
    </w:p>
    <w:p w:rsidR="00081A52" w:rsidRDefault="00081A52">
      <w:pPr>
        <w:numPr>
          <w:ilvl w:val="0"/>
          <w:numId w:val="20"/>
        </w:numPr>
        <w:spacing w:line="360" w:lineRule="auto"/>
        <w:jc w:val="both"/>
        <w:rPr>
          <w:sz w:val="24"/>
          <w:szCs w:val="24"/>
        </w:rPr>
      </w:pPr>
      <w:r>
        <w:rPr>
          <w:b/>
          <w:sz w:val="24"/>
          <w:szCs w:val="24"/>
        </w:rPr>
        <w:t>SOLIDARIDAD</w:t>
      </w:r>
    </w:p>
    <w:p w:rsidR="00081A52" w:rsidRDefault="00081A52">
      <w:pPr>
        <w:spacing w:line="360" w:lineRule="auto"/>
        <w:jc w:val="both"/>
        <w:rPr>
          <w:sz w:val="24"/>
          <w:szCs w:val="24"/>
        </w:rPr>
      </w:pPr>
      <w:r>
        <w:rPr>
          <w:sz w:val="24"/>
          <w:szCs w:val="24"/>
        </w:rPr>
        <w:t>Acción mediante la cual todos los individuos contribuyen a la salud de acuerdo a sus posibilidades y capacidades.  El Estado propicia el compromiso recíproco y garantiza los servicios a quien realmente los necesita.</w:t>
      </w: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t>SUBSIDIARIDAD</w:t>
      </w:r>
    </w:p>
    <w:p w:rsidR="00081A52" w:rsidRDefault="00081A52">
      <w:pPr>
        <w:spacing w:line="360" w:lineRule="auto"/>
        <w:jc w:val="both"/>
        <w:rPr>
          <w:sz w:val="24"/>
          <w:szCs w:val="24"/>
        </w:rPr>
      </w:pPr>
      <w:r>
        <w:rPr>
          <w:sz w:val="24"/>
          <w:szCs w:val="24"/>
        </w:rPr>
        <w:t>Reorientación de los aportes financieros en salud, en términos de la demanda y enfocados a brindar apoyo o soporte financiero a las personas que por sus circunstancias de pobreza tengan poca o ninguna posibilidad de acceder a los servicios de salud.</w:t>
      </w: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t>TERCER NIVEL DE ATENCIÓN</w:t>
      </w:r>
    </w:p>
    <w:p w:rsidR="00081A52" w:rsidRDefault="00081A52">
      <w:pPr>
        <w:spacing w:line="360" w:lineRule="auto"/>
        <w:jc w:val="both"/>
        <w:rPr>
          <w:sz w:val="24"/>
          <w:szCs w:val="24"/>
        </w:rPr>
      </w:pPr>
      <w:r>
        <w:rPr>
          <w:sz w:val="24"/>
          <w:szCs w:val="24"/>
        </w:rPr>
        <w:t xml:space="preserve">Conjunto de instituciones que ofrecen servicio de salud ambulatoria y de hospitalización en las diferentes especialidades médicas  y sub.-especialidades.  </w:t>
      </w:r>
    </w:p>
    <w:p w:rsidR="00081A52" w:rsidRDefault="00081A52">
      <w:pPr>
        <w:spacing w:line="360" w:lineRule="auto"/>
        <w:jc w:val="both"/>
        <w:rPr>
          <w:sz w:val="24"/>
          <w:szCs w:val="24"/>
        </w:rPr>
      </w:pPr>
    </w:p>
    <w:p w:rsidR="00081A52" w:rsidRDefault="00081A52">
      <w:pPr>
        <w:numPr>
          <w:ilvl w:val="0"/>
          <w:numId w:val="20"/>
        </w:numPr>
        <w:spacing w:line="360" w:lineRule="auto"/>
        <w:jc w:val="both"/>
        <w:rPr>
          <w:sz w:val="24"/>
          <w:szCs w:val="24"/>
        </w:rPr>
      </w:pPr>
      <w:r>
        <w:rPr>
          <w:b/>
          <w:sz w:val="24"/>
          <w:szCs w:val="24"/>
        </w:rPr>
        <w:t>UNIVERSALIDAD</w:t>
      </w:r>
    </w:p>
    <w:p w:rsidR="00081A52" w:rsidRDefault="00081A52">
      <w:pPr>
        <w:pStyle w:val="Textoindependiente2"/>
        <w:spacing w:line="360" w:lineRule="auto"/>
        <w:rPr>
          <w:rFonts w:ascii="Times New Roman" w:hAnsi="Times New Roman"/>
          <w:szCs w:val="24"/>
        </w:rPr>
      </w:pPr>
      <w:r>
        <w:rPr>
          <w:rFonts w:ascii="Times New Roman" w:hAnsi="Times New Roman"/>
          <w:szCs w:val="24"/>
        </w:rPr>
        <w:t>Es el derecho que tiene toda la población de acceder a los servicios de salud de calidad.</w:t>
      </w:r>
    </w:p>
    <w:p w:rsidR="00081A52" w:rsidRDefault="00081A52">
      <w:pPr>
        <w:spacing w:line="360" w:lineRule="auto"/>
        <w:jc w:val="both"/>
        <w:rPr>
          <w:sz w:val="24"/>
          <w:szCs w:val="24"/>
        </w:rPr>
      </w:pPr>
    </w:p>
    <w:p w:rsidR="00081A52" w:rsidRDefault="00081A52">
      <w:pPr>
        <w:pStyle w:val="Textoindependiente"/>
        <w:spacing w:line="360" w:lineRule="auto"/>
        <w:ind w:left="360"/>
        <w:jc w:val="both"/>
        <w:rPr>
          <w:rFonts w:ascii="Times New Roman" w:hAnsi="Times New Roman"/>
          <w:sz w:val="24"/>
        </w:rPr>
      </w:pPr>
    </w:p>
    <w:p w:rsidR="00081A52" w:rsidRDefault="00081A52">
      <w:pPr>
        <w:pStyle w:val="Textoindependiente"/>
        <w:spacing w:line="360" w:lineRule="auto"/>
        <w:rPr>
          <w:rFonts w:ascii="Times New Roman" w:hAnsi="Times New Roman"/>
          <w:b/>
          <w:szCs w:val="44"/>
        </w:rPr>
      </w:pPr>
      <w:r>
        <w:rPr>
          <w:rFonts w:ascii="Times New Roman" w:hAnsi="Times New Roman"/>
          <w:b/>
          <w:szCs w:val="44"/>
        </w:rPr>
        <w:lastRenderedPageBreak/>
        <w:t>ANEXO 3</w:t>
      </w:r>
    </w:p>
    <w:p w:rsidR="00081A52" w:rsidRDefault="00081A52">
      <w:pPr>
        <w:pStyle w:val="Textoindependiente"/>
        <w:spacing w:line="360" w:lineRule="auto"/>
        <w:outlineLvl w:val="0"/>
        <w:rPr>
          <w:rFonts w:ascii="Times New Roman" w:hAnsi="Times New Roman"/>
          <w:b/>
          <w:sz w:val="20"/>
          <w:szCs w:val="16"/>
        </w:rPr>
      </w:pPr>
      <w:r>
        <w:rPr>
          <w:rFonts w:ascii="Times New Roman" w:hAnsi="Times New Roman"/>
          <w:b/>
          <w:sz w:val="20"/>
          <w:szCs w:val="16"/>
        </w:rPr>
        <w:t>Formulario No 1:</w:t>
      </w:r>
    </w:p>
    <w:p w:rsidR="00081A52" w:rsidRDefault="00081A52">
      <w:pPr>
        <w:pStyle w:val="Textoindependiente"/>
        <w:spacing w:line="360" w:lineRule="auto"/>
        <w:outlineLvl w:val="0"/>
        <w:rPr>
          <w:rFonts w:ascii="Times New Roman" w:hAnsi="Times New Roman"/>
          <w:b/>
          <w:sz w:val="20"/>
          <w:szCs w:val="16"/>
        </w:rPr>
      </w:pPr>
      <w:r>
        <w:rPr>
          <w:rFonts w:ascii="Times New Roman" w:hAnsi="Times New Roman"/>
          <w:b/>
          <w:sz w:val="20"/>
          <w:szCs w:val="16"/>
        </w:rPr>
        <w:t>DISTRIBUCIÓN DEL GASTO EN SALUD SEGUN SUB SECTOR</w:t>
      </w:r>
    </w:p>
    <w:p w:rsidR="00081A52" w:rsidRDefault="00081A52">
      <w:pPr>
        <w:pStyle w:val="Textoindependiente"/>
        <w:spacing w:line="360" w:lineRule="auto"/>
        <w:rPr>
          <w:rFonts w:ascii="Times New Roman" w:hAnsi="Times New Roman"/>
          <w:b/>
          <w:sz w:val="20"/>
          <w:szCs w:val="16"/>
        </w:rPr>
      </w:pPr>
      <w:r>
        <w:rPr>
          <w:rFonts w:ascii="Times New Roman" w:hAnsi="Times New Roman"/>
          <w:b/>
          <w:sz w:val="20"/>
          <w:szCs w:val="16"/>
        </w:rPr>
        <w:t>EL SALVADOR  EHPM-2001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61"/>
        <w:gridCol w:w="2161"/>
        <w:gridCol w:w="2161"/>
        <w:gridCol w:w="2161"/>
      </w:tblGrid>
      <w:tr w:rsidR="00081A52">
        <w:tblPrEx>
          <w:tblCellMar>
            <w:top w:w="0" w:type="dxa"/>
            <w:bottom w:w="0" w:type="dxa"/>
          </w:tblCellMar>
        </w:tblPrEx>
        <w:trPr>
          <w:cantSplit/>
        </w:trPr>
        <w:tc>
          <w:tcPr>
            <w:tcW w:w="2161" w:type="dxa"/>
            <w:vMerge w:val="restart"/>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SUB SECTOR</w:t>
            </w:r>
          </w:p>
        </w:tc>
        <w:tc>
          <w:tcPr>
            <w:tcW w:w="6483" w:type="dxa"/>
            <w:gridSpan w:val="3"/>
            <w:vAlign w:val="center"/>
          </w:tcPr>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GASTO PER CÁPITA</w:t>
            </w:r>
          </w:p>
        </w:tc>
      </w:tr>
      <w:tr w:rsidR="00081A52">
        <w:tblPrEx>
          <w:tblCellMar>
            <w:top w:w="0" w:type="dxa"/>
            <w:bottom w:w="0" w:type="dxa"/>
          </w:tblCellMar>
        </w:tblPrEx>
        <w:trPr>
          <w:cantSplit/>
        </w:trPr>
        <w:tc>
          <w:tcPr>
            <w:tcW w:w="2161" w:type="dxa"/>
            <w:vMerge/>
          </w:tcPr>
          <w:p w:rsidR="00081A52" w:rsidRDefault="00081A52">
            <w:pPr>
              <w:pStyle w:val="Textoindependiente"/>
              <w:spacing w:line="360" w:lineRule="auto"/>
              <w:jc w:val="both"/>
              <w:rPr>
                <w:rFonts w:ascii="Times New Roman" w:hAnsi="Times New Roman"/>
                <w:b/>
                <w:sz w:val="16"/>
                <w:szCs w:val="16"/>
              </w:rPr>
            </w:pPr>
          </w:p>
        </w:tc>
        <w:tc>
          <w:tcPr>
            <w:tcW w:w="2161" w:type="dxa"/>
            <w:vAlign w:val="center"/>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URBANO</w:t>
            </w:r>
          </w:p>
        </w:tc>
        <w:tc>
          <w:tcPr>
            <w:tcW w:w="2161" w:type="dxa"/>
            <w:vAlign w:val="center"/>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lang w:val="es-ES"/>
              </w:rPr>
            </w:pPr>
            <w:r>
              <w:rPr>
                <w:rFonts w:ascii="Times New Roman" w:hAnsi="Times New Roman"/>
                <w:b/>
                <w:sz w:val="16"/>
                <w:szCs w:val="16"/>
                <w:lang w:val="es-ES"/>
              </w:rPr>
              <w:t>RURAL</w:t>
            </w:r>
          </w:p>
        </w:tc>
        <w:tc>
          <w:tcPr>
            <w:tcW w:w="2161" w:type="dxa"/>
            <w:vAlign w:val="center"/>
          </w:tcPr>
          <w:p w:rsidR="00081A52" w:rsidRDefault="00081A52">
            <w:pPr>
              <w:pStyle w:val="Textoindependiente"/>
              <w:spacing w:line="360" w:lineRule="auto"/>
              <w:jc w:val="both"/>
              <w:rPr>
                <w:rFonts w:ascii="Times New Roman" w:hAnsi="Times New Roman"/>
                <w:b/>
                <w:sz w:val="16"/>
                <w:szCs w:val="16"/>
                <w:lang w:val="es-ES"/>
              </w:rPr>
            </w:pPr>
          </w:p>
          <w:p w:rsidR="00081A52" w:rsidRDefault="00081A52">
            <w:pPr>
              <w:pStyle w:val="Textoindependiente"/>
              <w:spacing w:line="360" w:lineRule="auto"/>
              <w:jc w:val="both"/>
              <w:rPr>
                <w:rFonts w:ascii="Times New Roman" w:hAnsi="Times New Roman"/>
                <w:b/>
                <w:sz w:val="16"/>
                <w:szCs w:val="16"/>
                <w:lang w:val="es-ES"/>
              </w:rPr>
            </w:pPr>
            <w:r>
              <w:rPr>
                <w:rFonts w:ascii="Times New Roman" w:hAnsi="Times New Roman"/>
                <w:b/>
                <w:sz w:val="16"/>
                <w:szCs w:val="16"/>
                <w:lang w:val="es-ES"/>
              </w:rPr>
              <w:t>TOTAL</w:t>
            </w:r>
          </w:p>
        </w:tc>
      </w:tr>
      <w:tr w:rsidR="00081A52">
        <w:tblPrEx>
          <w:tblCellMar>
            <w:top w:w="0" w:type="dxa"/>
            <w:bottom w:w="0" w:type="dxa"/>
          </w:tblCellMar>
        </w:tblPrEx>
        <w:tc>
          <w:tcPr>
            <w:tcW w:w="2161" w:type="dxa"/>
          </w:tcPr>
          <w:p w:rsidR="00081A52" w:rsidRDefault="00081A52">
            <w:pPr>
              <w:pStyle w:val="Textoindependiente"/>
              <w:spacing w:line="360" w:lineRule="auto"/>
              <w:jc w:val="both"/>
              <w:rPr>
                <w:rFonts w:ascii="Times New Roman" w:hAnsi="Times New Roman"/>
                <w:b/>
                <w:sz w:val="16"/>
                <w:szCs w:val="16"/>
                <w:lang w:val="es-ES"/>
              </w:rPr>
            </w:pPr>
          </w:p>
          <w:p w:rsidR="00081A52" w:rsidRDefault="00081A52">
            <w:pPr>
              <w:pStyle w:val="Textoindependiente"/>
              <w:spacing w:line="360" w:lineRule="auto"/>
              <w:jc w:val="both"/>
              <w:rPr>
                <w:rFonts w:ascii="Times New Roman" w:hAnsi="Times New Roman"/>
                <w:b/>
                <w:sz w:val="16"/>
                <w:szCs w:val="16"/>
                <w:lang w:val="es-ES"/>
              </w:rPr>
            </w:pPr>
            <w:r>
              <w:rPr>
                <w:rFonts w:ascii="Times New Roman" w:hAnsi="Times New Roman"/>
                <w:b/>
                <w:sz w:val="16"/>
                <w:szCs w:val="16"/>
                <w:lang w:val="es-ES"/>
              </w:rPr>
              <w:t>MSPAS</w:t>
            </w:r>
          </w:p>
        </w:tc>
        <w:tc>
          <w:tcPr>
            <w:tcW w:w="2161" w:type="dxa"/>
          </w:tcPr>
          <w:p w:rsidR="00081A52" w:rsidRDefault="00081A52">
            <w:pPr>
              <w:pStyle w:val="Textoindependiente"/>
              <w:spacing w:line="360" w:lineRule="auto"/>
              <w:jc w:val="both"/>
              <w:rPr>
                <w:rFonts w:ascii="Times New Roman" w:hAnsi="Times New Roman"/>
                <w:b/>
                <w:sz w:val="16"/>
                <w:szCs w:val="16"/>
                <w:lang w:val="es-ES"/>
              </w:rPr>
            </w:pPr>
          </w:p>
        </w:tc>
        <w:tc>
          <w:tcPr>
            <w:tcW w:w="2161" w:type="dxa"/>
          </w:tcPr>
          <w:p w:rsidR="00081A52" w:rsidRDefault="00081A52">
            <w:pPr>
              <w:pStyle w:val="Textoindependiente"/>
              <w:spacing w:line="360" w:lineRule="auto"/>
              <w:jc w:val="both"/>
              <w:rPr>
                <w:rFonts w:ascii="Times New Roman" w:hAnsi="Times New Roman"/>
                <w:b/>
                <w:sz w:val="16"/>
                <w:szCs w:val="16"/>
                <w:lang w:val="es-ES"/>
              </w:rPr>
            </w:pPr>
          </w:p>
        </w:tc>
        <w:tc>
          <w:tcPr>
            <w:tcW w:w="2161" w:type="dxa"/>
          </w:tcPr>
          <w:p w:rsidR="00081A52" w:rsidRDefault="00081A52">
            <w:pPr>
              <w:pStyle w:val="Textoindependiente"/>
              <w:spacing w:line="360" w:lineRule="auto"/>
              <w:jc w:val="both"/>
              <w:rPr>
                <w:rFonts w:ascii="Times New Roman" w:hAnsi="Times New Roman"/>
                <w:b/>
                <w:sz w:val="16"/>
                <w:szCs w:val="16"/>
                <w:lang w:val="es-ES"/>
              </w:rPr>
            </w:pPr>
          </w:p>
        </w:tc>
      </w:tr>
      <w:tr w:rsidR="00081A52">
        <w:tblPrEx>
          <w:tblCellMar>
            <w:top w:w="0" w:type="dxa"/>
            <w:bottom w:w="0" w:type="dxa"/>
          </w:tblCellMar>
        </w:tblPrEx>
        <w:tc>
          <w:tcPr>
            <w:tcW w:w="2161" w:type="dxa"/>
          </w:tcPr>
          <w:p w:rsidR="00081A52" w:rsidRDefault="00081A52">
            <w:pPr>
              <w:pStyle w:val="Textoindependiente"/>
              <w:spacing w:line="360" w:lineRule="auto"/>
              <w:jc w:val="both"/>
              <w:rPr>
                <w:rFonts w:ascii="Times New Roman" w:hAnsi="Times New Roman"/>
                <w:b/>
                <w:sz w:val="16"/>
                <w:szCs w:val="16"/>
                <w:lang w:val="es-ES"/>
              </w:rPr>
            </w:pPr>
          </w:p>
          <w:p w:rsidR="00081A52" w:rsidRDefault="00081A52">
            <w:pPr>
              <w:pStyle w:val="Textoindependiente"/>
              <w:spacing w:line="360" w:lineRule="auto"/>
              <w:jc w:val="both"/>
              <w:rPr>
                <w:rFonts w:ascii="Times New Roman" w:hAnsi="Times New Roman"/>
                <w:b/>
                <w:sz w:val="16"/>
                <w:szCs w:val="16"/>
                <w:lang w:val="es-ES"/>
              </w:rPr>
            </w:pPr>
            <w:r>
              <w:rPr>
                <w:rFonts w:ascii="Times New Roman" w:hAnsi="Times New Roman"/>
                <w:b/>
                <w:sz w:val="16"/>
                <w:szCs w:val="16"/>
                <w:lang w:val="es-ES"/>
              </w:rPr>
              <w:t>ISSS</w:t>
            </w:r>
          </w:p>
        </w:tc>
        <w:tc>
          <w:tcPr>
            <w:tcW w:w="2161" w:type="dxa"/>
          </w:tcPr>
          <w:p w:rsidR="00081A52" w:rsidRDefault="00081A52">
            <w:pPr>
              <w:pStyle w:val="Textoindependiente"/>
              <w:spacing w:line="360" w:lineRule="auto"/>
              <w:jc w:val="both"/>
              <w:rPr>
                <w:rFonts w:ascii="Times New Roman" w:hAnsi="Times New Roman"/>
                <w:b/>
                <w:sz w:val="16"/>
                <w:szCs w:val="16"/>
                <w:lang w:val="es-ES"/>
              </w:rPr>
            </w:pPr>
          </w:p>
        </w:tc>
        <w:tc>
          <w:tcPr>
            <w:tcW w:w="2161" w:type="dxa"/>
          </w:tcPr>
          <w:p w:rsidR="00081A52" w:rsidRDefault="00081A52">
            <w:pPr>
              <w:pStyle w:val="Textoindependiente"/>
              <w:spacing w:line="360" w:lineRule="auto"/>
              <w:jc w:val="both"/>
              <w:rPr>
                <w:rFonts w:ascii="Times New Roman" w:hAnsi="Times New Roman"/>
                <w:b/>
                <w:sz w:val="16"/>
                <w:szCs w:val="16"/>
                <w:lang w:val="es-ES"/>
              </w:rPr>
            </w:pPr>
          </w:p>
        </w:tc>
        <w:tc>
          <w:tcPr>
            <w:tcW w:w="2161" w:type="dxa"/>
          </w:tcPr>
          <w:p w:rsidR="00081A52" w:rsidRDefault="00081A52">
            <w:pPr>
              <w:pStyle w:val="Textoindependiente"/>
              <w:spacing w:line="360" w:lineRule="auto"/>
              <w:jc w:val="both"/>
              <w:rPr>
                <w:rFonts w:ascii="Times New Roman" w:hAnsi="Times New Roman"/>
                <w:b/>
                <w:sz w:val="16"/>
                <w:szCs w:val="16"/>
                <w:lang w:val="es-ES"/>
              </w:rPr>
            </w:pPr>
          </w:p>
        </w:tc>
      </w:tr>
    </w:tbl>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outlineLvl w:val="0"/>
        <w:rPr>
          <w:rFonts w:ascii="Times New Roman" w:hAnsi="Times New Roman"/>
          <w:b/>
          <w:sz w:val="20"/>
          <w:szCs w:val="16"/>
        </w:rPr>
      </w:pPr>
      <w:r>
        <w:rPr>
          <w:rFonts w:ascii="Times New Roman" w:hAnsi="Times New Roman"/>
          <w:b/>
          <w:sz w:val="20"/>
          <w:szCs w:val="16"/>
        </w:rPr>
        <w:t>Formulario No 2:</w:t>
      </w:r>
    </w:p>
    <w:p w:rsidR="00081A52" w:rsidRDefault="00081A52">
      <w:pPr>
        <w:pStyle w:val="Textoindependiente"/>
        <w:spacing w:line="360" w:lineRule="auto"/>
        <w:rPr>
          <w:rFonts w:ascii="Times New Roman" w:hAnsi="Times New Roman"/>
          <w:b/>
          <w:sz w:val="20"/>
          <w:szCs w:val="16"/>
        </w:rPr>
      </w:pPr>
      <w:r>
        <w:rPr>
          <w:rFonts w:ascii="Times New Roman" w:hAnsi="Times New Roman"/>
          <w:b/>
          <w:sz w:val="20"/>
          <w:szCs w:val="16"/>
        </w:rPr>
        <w:t xml:space="preserve">UTILIZACIÓN DE LOS SERVICIOS DE SALUD SEGUN GÉNERO Y PROCEDENCIA. </w:t>
      </w:r>
    </w:p>
    <w:p w:rsidR="00081A52" w:rsidRDefault="00081A52">
      <w:pPr>
        <w:pStyle w:val="Textoindependiente"/>
        <w:spacing w:line="360" w:lineRule="auto"/>
        <w:rPr>
          <w:rFonts w:ascii="Times New Roman" w:hAnsi="Times New Roman"/>
          <w:b/>
          <w:sz w:val="20"/>
          <w:szCs w:val="16"/>
        </w:rPr>
      </w:pPr>
      <w:r>
        <w:rPr>
          <w:rFonts w:ascii="Times New Roman" w:hAnsi="Times New Roman"/>
          <w:b/>
          <w:sz w:val="20"/>
          <w:szCs w:val="16"/>
        </w:rPr>
        <w:t>EL SALVADOR, EHPM-2001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05"/>
        <w:gridCol w:w="851"/>
        <w:gridCol w:w="992"/>
        <w:gridCol w:w="992"/>
        <w:gridCol w:w="18"/>
        <w:gridCol w:w="975"/>
        <w:gridCol w:w="992"/>
        <w:gridCol w:w="913"/>
      </w:tblGrid>
      <w:tr w:rsidR="00081A52">
        <w:tblPrEx>
          <w:tblCellMar>
            <w:top w:w="0" w:type="dxa"/>
            <w:bottom w:w="0" w:type="dxa"/>
          </w:tblCellMar>
        </w:tblPrEx>
        <w:trPr>
          <w:cantSplit/>
          <w:trHeight w:val="550"/>
        </w:trPr>
        <w:tc>
          <w:tcPr>
            <w:tcW w:w="2905" w:type="dxa"/>
            <w:vMerge w:val="restart"/>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SUB SECTOR</w:t>
            </w:r>
          </w:p>
        </w:tc>
        <w:tc>
          <w:tcPr>
            <w:tcW w:w="2853" w:type="dxa"/>
            <w:gridSpan w:val="4"/>
            <w:vAlign w:val="center"/>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GENERO</w:t>
            </w:r>
          </w:p>
        </w:tc>
        <w:tc>
          <w:tcPr>
            <w:tcW w:w="2880" w:type="dxa"/>
            <w:gridSpan w:val="3"/>
            <w:vAlign w:val="center"/>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PROCEDENCIA</w:t>
            </w:r>
          </w:p>
        </w:tc>
      </w:tr>
      <w:tr w:rsidR="00081A52">
        <w:tblPrEx>
          <w:tblCellMar>
            <w:top w:w="0" w:type="dxa"/>
            <w:bottom w:w="0" w:type="dxa"/>
          </w:tblCellMar>
        </w:tblPrEx>
        <w:trPr>
          <w:cantSplit/>
          <w:trHeight w:val="550"/>
        </w:trPr>
        <w:tc>
          <w:tcPr>
            <w:tcW w:w="2905" w:type="dxa"/>
            <w:vMerge/>
          </w:tcPr>
          <w:p w:rsidR="00081A52" w:rsidRDefault="00081A52">
            <w:pPr>
              <w:pStyle w:val="Textoindependiente"/>
              <w:spacing w:line="360" w:lineRule="auto"/>
              <w:jc w:val="both"/>
              <w:rPr>
                <w:rFonts w:ascii="Times New Roman" w:hAnsi="Times New Roman"/>
                <w:b/>
                <w:sz w:val="16"/>
                <w:szCs w:val="16"/>
              </w:rPr>
            </w:pPr>
          </w:p>
        </w:tc>
        <w:tc>
          <w:tcPr>
            <w:tcW w:w="851" w:type="dxa"/>
            <w:vAlign w:val="center"/>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F</w:t>
            </w:r>
          </w:p>
        </w:tc>
        <w:tc>
          <w:tcPr>
            <w:tcW w:w="992" w:type="dxa"/>
            <w:vAlign w:val="center"/>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M</w:t>
            </w:r>
          </w:p>
        </w:tc>
        <w:tc>
          <w:tcPr>
            <w:tcW w:w="1010" w:type="dxa"/>
            <w:gridSpan w:val="2"/>
            <w:vAlign w:val="center"/>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T</w:t>
            </w:r>
          </w:p>
        </w:tc>
        <w:tc>
          <w:tcPr>
            <w:tcW w:w="975" w:type="dxa"/>
            <w:vAlign w:val="center"/>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U</w:t>
            </w:r>
          </w:p>
        </w:tc>
        <w:tc>
          <w:tcPr>
            <w:tcW w:w="992" w:type="dxa"/>
            <w:vAlign w:val="center"/>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lang w:val="es-ES"/>
              </w:rPr>
            </w:pPr>
            <w:r>
              <w:rPr>
                <w:rFonts w:ascii="Times New Roman" w:hAnsi="Times New Roman"/>
                <w:b/>
                <w:sz w:val="16"/>
                <w:szCs w:val="16"/>
                <w:lang w:val="es-ES"/>
              </w:rPr>
              <w:t>R</w:t>
            </w:r>
          </w:p>
        </w:tc>
        <w:tc>
          <w:tcPr>
            <w:tcW w:w="913" w:type="dxa"/>
            <w:vAlign w:val="center"/>
          </w:tcPr>
          <w:p w:rsidR="00081A52" w:rsidRDefault="00081A52">
            <w:pPr>
              <w:pStyle w:val="Textoindependiente"/>
              <w:spacing w:line="360" w:lineRule="auto"/>
              <w:jc w:val="both"/>
              <w:rPr>
                <w:rFonts w:ascii="Times New Roman" w:hAnsi="Times New Roman"/>
                <w:b/>
                <w:sz w:val="16"/>
                <w:szCs w:val="16"/>
                <w:lang w:val="es-ES"/>
              </w:rPr>
            </w:pPr>
          </w:p>
          <w:p w:rsidR="00081A52" w:rsidRDefault="00081A52">
            <w:pPr>
              <w:pStyle w:val="Textoindependiente"/>
              <w:spacing w:line="360" w:lineRule="auto"/>
              <w:jc w:val="both"/>
              <w:rPr>
                <w:rFonts w:ascii="Times New Roman" w:hAnsi="Times New Roman"/>
                <w:b/>
                <w:sz w:val="16"/>
                <w:szCs w:val="16"/>
                <w:lang w:val="es-ES"/>
              </w:rPr>
            </w:pPr>
            <w:r>
              <w:rPr>
                <w:rFonts w:ascii="Times New Roman" w:hAnsi="Times New Roman"/>
                <w:b/>
                <w:sz w:val="16"/>
                <w:szCs w:val="16"/>
                <w:lang w:val="es-ES"/>
              </w:rPr>
              <w:t>T</w:t>
            </w:r>
          </w:p>
        </w:tc>
      </w:tr>
      <w:tr w:rsidR="00081A52">
        <w:tblPrEx>
          <w:tblCellMar>
            <w:top w:w="0" w:type="dxa"/>
            <w:bottom w:w="0" w:type="dxa"/>
          </w:tblCellMar>
        </w:tblPrEx>
        <w:tc>
          <w:tcPr>
            <w:tcW w:w="2905" w:type="dxa"/>
          </w:tcPr>
          <w:p w:rsidR="00081A52" w:rsidRDefault="00081A52">
            <w:pPr>
              <w:pStyle w:val="Textoindependiente"/>
              <w:spacing w:line="360" w:lineRule="auto"/>
              <w:jc w:val="both"/>
              <w:rPr>
                <w:rFonts w:ascii="Times New Roman" w:hAnsi="Times New Roman"/>
                <w:b/>
                <w:sz w:val="16"/>
                <w:szCs w:val="16"/>
                <w:lang w:val="es-ES"/>
              </w:rPr>
            </w:pPr>
            <w:r>
              <w:rPr>
                <w:rFonts w:ascii="Times New Roman" w:hAnsi="Times New Roman"/>
                <w:b/>
                <w:sz w:val="16"/>
                <w:szCs w:val="16"/>
                <w:lang w:val="es-ES"/>
              </w:rPr>
              <w:t>MSPAS</w:t>
            </w:r>
          </w:p>
          <w:p w:rsidR="00081A52" w:rsidRDefault="00081A52">
            <w:pPr>
              <w:pStyle w:val="Textoindependiente"/>
              <w:spacing w:line="360" w:lineRule="auto"/>
              <w:jc w:val="both"/>
              <w:rPr>
                <w:rFonts w:ascii="Times New Roman" w:hAnsi="Times New Roman"/>
                <w:b/>
                <w:sz w:val="16"/>
                <w:szCs w:val="16"/>
                <w:lang w:val="es-ES"/>
              </w:rPr>
            </w:pPr>
          </w:p>
        </w:tc>
        <w:tc>
          <w:tcPr>
            <w:tcW w:w="851" w:type="dxa"/>
          </w:tcPr>
          <w:p w:rsidR="00081A52" w:rsidRDefault="00081A52">
            <w:pPr>
              <w:pStyle w:val="Textoindependiente"/>
              <w:spacing w:line="360" w:lineRule="auto"/>
              <w:jc w:val="both"/>
              <w:rPr>
                <w:rFonts w:ascii="Times New Roman" w:hAnsi="Times New Roman"/>
                <w:b/>
                <w:sz w:val="16"/>
                <w:szCs w:val="16"/>
                <w:lang w:val="es-ES"/>
              </w:rPr>
            </w:pPr>
          </w:p>
        </w:tc>
        <w:tc>
          <w:tcPr>
            <w:tcW w:w="992" w:type="dxa"/>
          </w:tcPr>
          <w:p w:rsidR="00081A52" w:rsidRDefault="00081A52">
            <w:pPr>
              <w:pStyle w:val="Textoindependiente"/>
              <w:spacing w:line="360" w:lineRule="auto"/>
              <w:jc w:val="both"/>
              <w:rPr>
                <w:rFonts w:ascii="Times New Roman" w:hAnsi="Times New Roman"/>
                <w:b/>
                <w:sz w:val="16"/>
                <w:szCs w:val="16"/>
                <w:lang w:val="es-ES"/>
              </w:rPr>
            </w:pPr>
          </w:p>
        </w:tc>
        <w:tc>
          <w:tcPr>
            <w:tcW w:w="992" w:type="dxa"/>
          </w:tcPr>
          <w:p w:rsidR="00081A52" w:rsidRDefault="00081A52">
            <w:pPr>
              <w:pStyle w:val="Textoindependiente"/>
              <w:spacing w:line="360" w:lineRule="auto"/>
              <w:jc w:val="both"/>
              <w:rPr>
                <w:rFonts w:ascii="Times New Roman" w:hAnsi="Times New Roman"/>
                <w:b/>
                <w:sz w:val="16"/>
                <w:szCs w:val="16"/>
                <w:lang w:val="es-ES"/>
              </w:rPr>
            </w:pPr>
          </w:p>
        </w:tc>
        <w:tc>
          <w:tcPr>
            <w:tcW w:w="993" w:type="dxa"/>
            <w:gridSpan w:val="2"/>
          </w:tcPr>
          <w:p w:rsidR="00081A52" w:rsidRDefault="00081A52">
            <w:pPr>
              <w:pStyle w:val="Textoindependiente"/>
              <w:spacing w:line="360" w:lineRule="auto"/>
              <w:jc w:val="both"/>
              <w:rPr>
                <w:rFonts w:ascii="Times New Roman" w:hAnsi="Times New Roman"/>
                <w:b/>
                <w:sz w:val="16"/>
                <w:szCs w:val="16"/>
                <w:lang w:val="es-ES"/>
              </w:rPr>
            </w:pPr>
          </w:p>
        </w:tc>
        <w:tc>
          <w:tcPr>
            <w:tcW w:w="992" w:type="dxa"/>
          </w:tcPr>
          <w:p w:rsidR="00081A52" w:rsidRDefault="00081A52">
            <w:pPr>
              <w:pStyle w:val="Textoindependiente"/>
              <w:spacing w:line="360" w:lineRule="auto"/>
              <w:jc w:val="both"/>
              <w:rPr>
                <w:rFonts w:ascii="Times New Roman" w:hAnsi="Times New Roman"/>
                <w:b/>
                <w:sz w:val="16"/>
                <w:szCs w:val="16"/>
                <w:lang w:val="es-ES"/>
              </w:rPr>
            </w:pPr>
          </w:p>
        </w:tc>
        <w:tc>
          <w:tcPr>
            <w:tcW w:w="913" w:type="dxa"/>
          </w:tcPr>
          <w:p w:rsidR="00081A52" w:rsidRDefault="00081A52">
            <w:pPr>
              <w:pStyle w:val="Textoindependiente"/>
              <w:spacing w:line="360" w:lineRule="auto"/>
              <w:jc w:val="both"/>
              <w:rPr>
                <w:rFonts w:ascii="Times New Roman" w:hAnsi="Times New Roman"/>
                <w:b/>
                <w:sz w:val="16"/>
                <w:szCs w:val="16"/>
                <w:lang w:val="es-ES"/>
              </w:rPr>
            </w:pPr>
          </w:p>
        </w:tc>
      </w:tr>
      <w:tr w:rsidR="00081A52">
        <w:tblPrEx>
          <w:tblCellMar>
            <w:top w:w="0" w:type="dxa"/>
            <w:bottom w:w="0" w:type="dxa"/>
          </w:tblCellMar>
        </w:tblPrEx>
        <w:tc>
          <w:tcPr>
            <w:tcW w:w="2905" w:type="dxa"/>
          </w:tcPr>
          <w:p w:rsidR="00081A52" w:rsidRDefault="00081A52">
            <w:pPr>
              <w:pStyle w:val="Textoindependiente"/>
              <w:spacing w:line="360" w:lineRule="auto"/>
              <w:jc w:val="both"/>
              <w:rPr>
                <w:rFonts w:ascii="Times New Roman" w:hAnsi="Times New Roman"/>
                <w:b/>
                <w:sz w:val="16"/>
                <w:szCs w:val="16"/>
                <w:lang w:val="es-ES"/>
              </w:rPr>
            </w:pPr>
            <w:r>
              <w:rPr>
                <w:rFonts w:ascii="Times New Roman" w:hAnsi="Times New Roman"/>
                <w:b/>
                <w:sz w:val="16"/>
                <w:szCs w:val="16"/>
                <w:lang w:val="es-ES"/>
              </w:rPr>
              <w:t>ISSS</w:t>
            </w:r>
          </w:p>
          <w:p w:rsidR="00081A52" w:rsidRDefault="00081A52">
            <w:pPr>
              <w:pStyle w:val="Textoindependiente"/>
              <w:spacing w:line="360" w:lineRule="auto"/>
              <w:jc w:val="both"/>
              <w:rPr>
                <w:rFonts w:ascii="Times New Roman" w:hAnsi="Times New Roman"/>
                <w:b/>
                <w:sz w:val="16"/>
                <w:szCs w:val="16"/>
                <w:lang w:val="es-ES"/>
              </w:rPr>
            </w:pPr>
          </w:p>
        </w:tc>
        <w:tc>
          <w:tcPr>
            <w:tcW w:w="851" w:type="dxa"/>
          </w:tcPr>
          <w:p w:rsidR="00081A52" w:rsidRDefault="00081A52">
            <w:pPr>
              <w:pStyle w:val="Textoindependiente"/>
              <w:spacing w:line="360" w:lineRule="auto"/>
              <w:jc w:val="both"/>
              <w:rPr>
                <w:rFonts w:ascii="Times New Roman" w:hAnsi="Times New Roman"/>
                <w:b/>
                <w:sz w:val="16"/>
                <w:szCs w:val="16"/>
                <w:lang w:val="es-ES"/>
              </w:rPr>
            </w:pPr>
          </w:p>
        </w:tc>
        <w:tc>
          <w:tcPr>
            <w:tcW w:w="992" w:type="dxa"/>
          </w:tcPr>
          <w:p w:rsidR="00081A52" w:rsidRDefault="00081A52">
            <w:pPr>
              <w:pStyle w:val="Textoindependiente"/>
              <w:spacing w:line="360" w:lineRule="auto"/>
              <w:jc w:val="both"/>
              <w:rPr>
                <w:rFonts w:ascii="Times New Roman" w:hAnsi="Times New Roman"/>
                <w:b/>
                <w:sz w:val="16"/>
                <w:szCs w:val="16"/>
                <w:lang w:val="es-ES"/>
              </w:rPr>
            </w:pPr>
          </w:p>
        </w:tc>
        <w:tc>
          <w:tcPr>
            <w:tcW w:w="992" w:type="dxa"/>
          </w:tcPr>
          <w:p w:rsidR="00081A52" w:rsidRDefault="00081A52">
            <w:pPr>
              <w:pStyle w:val="Textoindependiente"/>
              <w:spacing w:line="360" w:lineRule="auto"/>
              <w:jc w:val="both"/>
              <w:rPr>
                <w:rFonts w:ascii="Times New Roman" w:hAnsi="Times New Roman"/>
                <w:b/>
                <w:sz w:val="16"/>
                <w:szCs w:val="16"/>
                <w:lang w:val="es-ES"/>
              </w:rPr>
            </w:pPr>
          </w:p>
        </w:tc>
        <w:tc>
          <w:tcPr>
            <w:tcW w:w="993" w:type="dxa"/>
            <w:gridSpan w:val="2"/>
          </w:tcPr>
          <w:p w:rsidR="00081A52" w:rsidRDefault="00081A52">
            <w:pPr>
              <w:pStyle w:val="Textoindependiente"/>
              <w:spacing w:line="360" w:lineRule="auto"/>
              <w:jc w:val="both"/>
              <w:rPr>
                <w:rFonts w:ascii="Times New Roman" w:hAnsi="Times New Roman"/>
                <w:b/>
                <w:sz w:val="16"/>
                <w:szCs w:val="16"/>
                <w:lang w:val="es-ES"/>
              </w:rPr>
            </w:pPr>
          </w:p>
        </w:tc>
        <w:tc>
          <w:tcPr>
            <w:tcW w:w="992" w:type="dxa"/>
          </w:tcPr>
          <w:p w:rsidR="00081A52" w:rsidRDefault="00081A52">
            <w:pPr>
              <w:pStyle w:val="Textoindependiente"/>
              <w:spacing w:line="360" w:lineRule="auto"/>
              <w:jc w:val="both"/>
              <w:rPr>
                <w:rFonts w:ascii="Times New Roman" w:hAnsi="Times New Roman"/>
                <w:b/>
                <w:sz w:val="16"/>
                <w:szCs w:val="16"/>
                <w:lang w:val="es-ES"/>
              </w:rPr>
            </w:pPr>
          </w:p>
        </w:tc>
        <w:tc>
          <w:tcPr>
            <w:tcW w:w="913" w:type="dxa"/>
          </w:tcPr>
          <w:p w:rsidR="00081A52" w:rsidRDefault="00081A52">
            <w:pPr>
              <w:pStyle w:val="Textoindependiente"/>
              <w:spacing w:line="360" w:lineRule="auto"/>
              <w:jc w:val="both"/>
              <w:rPr>
                <w:rFonts w:ascii="Times New Roman" w:hAnsi="Times New Roman"/>
                <w:b/>
                <w:sz w:val="16"/>
                <w:szCs w:val="16"/>
                <w:lang w:val="es-ES"/>
              </w:rPr>
            </w:pPr>
          </w:p>
        </w:tc>
      </w:tr>
    </w:tbl>
    <w:p w:rsidR="00081A52" w:rsidRDefault="00081A52">
      <w:pPr>
        <w:pStyle w:val="Textoindependiente"/>
        <w:spacing w:line="360" w:lineRule="auto"/>
        <w:jc w:val="both"/>
        <w:rPr>
          <w:rFonts w:ascii="Times New Roman" w:hAnsi="Times New Roman"/>
          <w:b/>
          <w:sz w:val="16"/>
          <w:szCs w:val="16"/>
          <w:lang w:val="es-ES"/>
        </w:rPr>
      </w:pPr>
    </w:p>
    <w:p w:rsidR="00081A52" w:rsidRDefault="00081A52">
      <w:pPr>
        <w:pStyle w:val="Textoindependiente"/>
        <w:spacing w:line="360" w:lineRule="auto"/>
        <w:outlineLvl w:val="0"/>
        <w:rPr>
          <w:rFonts w:ascii="Times New Roman" w:hAnsi="Times New Roman"/>
          <w:b/>
          <w:sz w:val="20"/>
          <w:szCs w:val="16"/>
        </w:rPr>
      </w:pPr>
      <w:r>
        <w:rPr>
          <w:rFonts w:ascii="Times New Roman" w:hAnsi="Times New Roman"/>
          <w:b/>
          <w:sz w:val="20"/>
          <w:szCs w:val="16"/>
        </w:rPr>
        <w:t>Formulario No 3:</w:t>
      </w:r>
    </w:p>
    <w:p w:rsidR="00081A52" w:rsidRDefault="00081A52">
      <w:pPr>
        <w:pStyle w:val="Textoindependiente"/>
        <w:spacing w:line="360" w:lineRule="auto"/>
        <w:rPr>
          <w:rFonts w:ascii="Times New Roman" w:hAnsi="Times New Roman"/>
          <w:b/>
          <w:sz w:val="20"/>
          <w:szCs w:val="16"/>
        </w:rPr>
      </w:pPr>
      <w:r>
        <w:rPr>
          <w:rFonts w:ascii="Times New Roman" w:hAnsi="Times New Roman"/>
          <w:b/>
          <w:sz w:val="20"/>
          <w:szCs w:val="16"/>
        </w:rPr>
        <w:t>% DE UTILIZACIÓN DE LOS SERVICIOS DE SALUD SEGUN</w:t>
      </w:r>
    </w:p>
    <w:p w:rsidR="00081A52" w:rsidRDefault="00081A52">
      <w:pPr>
        <w:pStyle w:val="Textoindependiente"/>
        <w:spacing w:line="360" w:lineRule="auto"/>
        <w:rPr>
          <w:rFonts w:ascii="Times New Roman" w:hAnsi="Times New Roman"/>
          <w:b/>
          <w:sz w:val="20"/>
          <w:szCs w:val="16"/>
        </w:rPr>
      </w:pPr>
      <w:r>
        <w:rPr>
          <w:rFonts w:ascii="Times New Roman" w:hAnsi="Times New Roman"/>
          <w:b/>
          <w:sz w:val="20"/>
          <w:szCs w:val="16"/>
        </w:rPr>
        <w:t>NIVEL DE INGRESO  EHPM-2001</w:t>
      </w:r>
    </w:p>
    <w:tbl>
      <w:tblPr>
        <w:tblW w:w="8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55"/>
        <w:gridCol w:w="425"/>
        <w:gridCol w:w="425"/>
        <w:gridCol w:w="709"/>
        <w:gridCol w:w="567"/>
        <w:gridCol w:w="567"/>
        <w:gridCol w:w="567"/>
        <w:gridCol w:w="567"/>
        <w:gridCol w:w="709"/>
        <w:gridCol w:w="567"/>
        <w:gridCol w:w="425"/>
        <w:gridCol w:w="1276"/>
      </w:tblGrid>
      <w:tr w:rsidR="00081A52">
        <w:tblPrEx>
          <w:tblCellMar>
            <w:top w:w="0" w:type="dxa"/>
            <w:bottom w:w="0" w:type="dxa"/>
          </w:tblCellMar>
        </w:tblPrEx>
        <w:trPr>
          <w:cantSplit/>
        </w:trPr>
        <w:tc>
          <w:tcPr>
            <w:tcW w:w="2055" w:type="dxa"/>
            <w:vMerge w:val="restart"/>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SUB SECTOR</w:t>
            </w:r>
          </w:p>
          <w:p w:rsidR="00081A52" w:rsidRDefault="00081A52">
            <w:pPr>
              <w:pStyle w:val="Textoindependiente"/>
              <w:spacing w:line="360" w:lineRule="auto"/>
              <w:jc w:val="both"/>
              <w:rPr>
                <w:rFonts w:ascii="Times New Roman" w:hAnsi="Times New Roman"/>
                <w:b/>
                <w:sz w:val="16"/>
                <w:szCs w:val="16"/>
              </w:rPr>
            </w:pPr>
          </w:p>
        </w:tc>
        <w:tc>
          <w:tcPr>
            <w:tcW w:w="6804" w:type="dxa"/>
            <w:gridSpan w:val="11"/>
            <w:vAlign w:val="center"/>
          </w:tcPr>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 DE UTILIZACIÓN  SEGÚN DECILES DE INGRESO</w:t>
            </w:r>
          </w:p>
        </w:tc>
      </w:tr>
      <w:tr w:rsidR="00081A52">
        <w:tblPrEx>
          <w:tblCellMar>
            <w:top w:w="0" w:type="dxa"/>
            <w:bottom w:w="0" w:type="dxa"/>
          </w:tblCellMar>
        </w:tblPrEx>
        <w:trPr>
          <w:cantSplit/>
        </w:trPr>
        <w:tc>
          <w:tcPr>
            <w:tcW w:w="2055" w:type="dxa"/>
            <w:vMerge/>
          </w:tcPr>
          <w:p w:rsidR="00081A52" w:rsidRDefault="00081A52">
            <w:pPr>
              <w:pStyle w:val="Textoindependiente"/>
              <w:spacing w:line="360" w:lineRule="auto"/>
              <w:jc w:val="both"/>
              <w:rPr>
                <w:rFonts w:ascii="Times New Roman" w:hAnsi="Times New Roman"/>
                <w:b/>
                <w:sz w:val="16"/>
                <w:szCs w:val="16"/>
              </w:rPr>
            </w:pPr>
          </w:p>
        </w:tc>
        <w:tc>
          <w:tcPr>
            <w:tcW w:w="425" w:type="dxa"/>
            <w:vAlign w:val="center"/>
          </w:tcPr>
          <w:p w:rsidR="00081A52" w:rsidRDefault="00081A52">
            <w:pPr>
              <w:pStyle w:val="Textoindependiente"/>
              <w:spacing w:line="360" w:lineRule="auto"/>
              <w:jc w:val="both"/>
              <w:rPr>
                <w:rFonts w:ascii="Times New Roman" w:hAnsi="Times New Roman"/>
                <w:b/>
                <w:sz w:val="16"/>
                <w:szCs w:val="16"/>
                <w:lang w:val="en-GB"/>
              </w:rPr>
            </w:pPr>
            <w:r>
              <w:rPr>
                <w:rFonts w:ascii="Times New Roman" w:hAnsi="Times New Roman"/>
                <w:b/>
                <w:sz w:val="16"/>
                <w:szCs w:val="16"/>
                <w:lang w:val="en-GB"/>
              </w:rPr>
              <w:t>I</w:t>
            </w:r>
          </w:p>
        </w:tc>
        <w:tc>
          <w:tcPr>
            <w:tcW w:w="425" w:type="dxa"/>
            <w:vAlign w:val="center"/>
          </w:tcPr>
          <w:p w:rsidR="00081A52" w:rsidRDefault="00081A52">
            <w:pPr>
              <w:pStyle w:val="Textoindependiente"/>
              <w:spacing w:line="360" w:lineRule="auto"/>
              <w:jc w:val="both"/>
              <w:rPr>
                <w:rFonts w:ascii="Times New Roman" w:hAnsi="Times New Roman"/>
                <w:b/>
                <w:sz w:val="16"/>
                <w:szCs w:val="16"/>
                <w:lang w:val="en-GB"/>
              </w:rPr>
            </w:pPr>
            <w:r>
              <w:rPr>
                <w:rFonts w:ascii="Times New Roman" w:hAnsi="Times New Roman"/>
                <w:b/>
                <w:sz w:val="16"/>
                <w:szCs w:val="16"/>
                <w:lang w:val="en-GB"/>
              </w:rPr>
              <w:t>II</w:t>
            </w:r>
          </w:p>
        </w:tc>
        <w:tc>
          <w:tcPr>
            <w:tcW w:w="709" w:type="dxa"/>
            <w:vAlign w:val="center"/>
          </w:tcPr>
          <w:p w:rsidR="00081A52" w:rsidRDefault="00081A52">
            <w:pPr>
              <w:pStyle w:val="Textoindependiente"/>
              <w:spacing w:line="360" w:lineRule="auto"/>
              <w:jc w:val="both"/>
              <w:rPr>
                <w:rFonts w:ascii="Times New Roman" w:hAnsi="Times New Roman"/>
                <w:b/>
                <w:sz w:val="16"/>
                <w:szCs w:val="16"/>
                <w:lang w:val="en-GB"/>
              </w:rPr>
            </w:pPr>
            <w:r>
              <w:rPr>
                <w:rFonts w:ascii="Times New Roman" w:hAnsi="Times New Roman"/>
                <w:b/>
                <w:sz w:val="16"/>
                <w:szCs w:val="16"/>
                <w:lang w:val="en-GB"/>
              </w:rPr>
              <w:t>III</w:t>
            </w:r>
          </w:p>
        </w:tc>
        <w:tc>
          <w:tcPr>
            <w:tcW w:w="567" w:type="dxa"/>
            <w:vAlign w:val="center"/>
          </w:tcPr>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IV</w:t>
            </w:r>
          </w:p>
        </w:tc>
        <w:tc>
          <w:tcPr>
            <w:tcW w:w="567" w:type="dxa"/>
            <w:vAlign w:val="center"/>
          </w:tcPr>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V</w:t>
            </w:r>
          </w:p>
        </w:tc>
        <w:tc>
          <w:tcPr>
            <w:tcW w:w="567" w:type="dxa"/>
            <w:vAlign w:val="center"/>
          </w:tcPr>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VI</w:t>
            </w:r>
          </w:p>
        </w:tc>
        <w:tc>
          <w:tcPr>
            <w:tcW w:w="567" w:type="dxa"/>
            <w:vAlign w:val="center"/>
          </w:tcPr>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VII</w:t>
            </w:r>
          </w:p>
        </w:tc>
        <w:tc>
          <w:tcPr>
            <w:tcW w:w="709" w:type="dxa"/>
            <w:vAlign w:val="center"/>
          </w:tcPr>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VIII</w:t>
            </w:r>
          </w:p>
        </w:tc>
        <w:tc>
          <w:tcPr>
            <w:tcW w:w="567" w:type="dxa"/>
            <w:vAlign w:val="center"/>
          </w:tcPr>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IX</w:t>
            </w:r>
          </w:p>
        </w:tc>
        <w:tc>
          <w:tcPr>
            <w:tcW w:w="425" w:type="dxa"/>
            <w:vAlign w:val="center"/>
          </w:tcPr>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X</w:t>
            </w:r>
          </w:p>
        </w:tc>
        <w:tc>
          <w:tcPr>
            <w:tcW w:w="1276" w:type="dxa"/>
            <w:vAlign w:val="center"/>
          </w:tcPr>
          <w:p w:rsidR="00081A52" w:rsidRDefault="00081A52">
            <w:pPr>
              <w:pStyle w:val="Textoindependiente"/>
              <w:spacing w:line="360" w:lineRule="auto"/>
              <w:jc w:val="both"/>
              <w:rPr>
                <w:rFonts w:ascii="Times New Roman" w:hAnsi="Times New Roman"/>
                <w:b/>
                <w:sz w:val="16"/>
                <w:szCs w:val="16"/>
              </w:rPr>
            </w:pPr>
            <w:r>
              <w:rPr>
                <w:rFonts w:ascii="Times New Roman" w:hAnsi="Times New Roman"/>
                <w:b/>
                <w:sz w:val="16"/>
                <w:szCs w:val="16"/>
              </w:rPr>
              <w:t>TOTAL</w:t>
            </w:r>
          </w:p>
        </w:tc>
      </w:tr>
      <w:tr w:rsidR="00081A52">
        <w:tblPrEx>
          <w:tblCellMar>
            <w:top w:w="0" w:type="dxa"/>
            <w:bottom w:w="0" w:type="dxa"/>
          </w:tblCellMar>
        </w:tblPrEx>
        <w:tc>
          <w:tcPr>
            <w:tcW w:w="2055" w:type="dxa"/>
          </w:tcPr>
          <w:p w:rsidR="00081A52" w:rsidRDefault="00081A52">
            <w:pPr>
              <w:pStyle w:val="Textoindependiente"/>
              <w:spacing w:line="360" w:lineRule="auto"/>
              <w:jc w:val="both"/>
              <w:rPr>
                <w:rFonts w:ascii="Times New Roman" w:hAnsi="Times New Roman"/>
                <w:b/>
                <w:sz w:val="16"/>
                <w:szCs w:val="16"/>
              </w:rPr>
            </w:pPr>
          </w:p>
          <w:p w:rsidR="00081A52" w:rsidRDefault="00081A52">
            <w:pPr>
              <w:pStyle w:val="Textoindependiente"/>
              <w:spacing w:line="360" w:lineRule="auto"/>
              <w:jc w:val="both"/>
              <w:rPr>
                <w:rFonts w:ascii="Times New Roman" w:hAnsi="Times New Roman"/>
                <w:b/>
                <w:sz w:val="16"/>
                <w:szCs w:val="16"/>
                <w:lang w:val="en-GB"/>
              </w:rPr>
            </w:pPr>
            <w:r>
              <w:rPr>
                <w:rFonts w:ascii="Times New Roman" w:hAnsi="Times New Roman"/>
                <w:b/>
                <w:sz w:val="16"/>
                <w:szCs w:val="16"/>
                <w:lang w:val="en-GB"/>
              </w:rPr>
              <w:t>MSPAS</w:t>
            </w:r>
          </w:p>
        </w:tc>
        <w:tc>
          <w:tcPr>
            <w:tcW w:w="425" w:type="dxa"/>
          </w:tcPr>
          <w:p w:rsidR="00081A52" w:rsidRDefault="00081A52">
            <w:pPr>
              <w:pStyle w:val="Textoindependiente"/>
              <w:spacing w:line="360" w:lineRule="auto"/>
              <w:jc w:val="both"/>
              <w:rPr>
                <w:rFonts w:ascii="Times New Roman" w:hAnsi="Times New Roman"/>
                <w:b/>
                <w:sz w:val="16"/>
                <w:szCs w:val="16"/>
                <w:lang w:val="en-GB"/>
              </w:rPr>
            </w:pPr>
          </w:p>
        </w:tc>
        <w:tc>
          <w:tcPr>
            <w:tcW w:w="425" w:type="dxa"/>
          </w:tcPr>
          <w:p w:rsidR="00081A52" w:rsidRDefault="00081A52">
            <w:pPr>
              <w:pStyle w:val="Textoindependiente"/>
              <w:spacing w:line="360" w:lineRule="auto"/>
              <w:jc w:val="both"/>
              <w:rPr>
                <w:rFonts w:ascii="Times New Roman" w:hAnsi="Times New Roman"/>
                <w:b/>
                <w:sz w:val="16"/>
                <w:szCs w:val="16"/>
                <w:lang w:val="en-GB"/>
              </w:rPr>
            </w:pPr>
          </w:p>
        </w:tc>
        <w:tc>
          <w:tcPr>
            <w:tcW w:w="709"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709"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425" w:type="dxa"/>
          </w:tcPr>
          <w:p w:rsidR="00081A52" w:rsidRDefault="00081A52">
            <w:pPr>
              <w:pStyle w:val="Textoindependiente"/>
              <w:spacing w:line="360" w:lineRule="auto"/>
              <w:jc w:val="both"/>
              <w:rPr>
                <w:rFonts w:ascii="Times New Roman" w:hAnsi="Times New Roman"/>
                <w:b/>
                <w:sz w:val="16"/>
                <w:szCs w:val="16"/>
                <w:lang w:val="en-GB"/>
              </w:rPr>
            </w:pPr>
          </w:p>
        </w:tc>
        <w:tc>
          <w:tcPr>
            <w:tcW w:w="1276" w:type="dxa"/>
          </w:tcPr>
          <w:p w:rsidR="00081A52" w:rsidRDefault="00081A52">
            <w:pPr>
              <w:pStyle w:val="Textoindependiente"/>
              <w:spacing w:line="360" w:lineRule="auto"/>
              <w:jc w:val="both"/>
              <w:rPr>
                <w:rFonts w:ascii="Times New Roman" w:hAnsi="Times New Roman"/>
                <w:b/>
                <w:sz w:val="16"/>
                <w:szCs w:val="16"/>
                <w:lang w:val="en-GB"/>
              </w:rPr>
            </w:pPr>
          </w:p>
        </w:tc>
      </w:tr>
      <w:tr w:rsidR="00081A52">
        <w:tblPrEx>
          <w:tblCellMar>
            <w:top w:w="0" w:type="dxa"/>
            <w:bottom w:w="0" w:type="dxa"/>
          </w:tblCellMar>
        </w:tblPrEx>
        <w:tc>
          <w:tcPr>
            <w:tcW w:w="2055" w:type="dxa"/>
          </w:tcPr>
          <w:p w:rsidR="00081A52" w:rsidRDefault="00081A52">
            <w:pPr>
              <w:pStyle w:val="Textoindependiente"/>
              <w:spacing w:line="360" w:lineRule="auto"/>
              <w:jc w:val="both"/>
              <w:rPr>
                <w:rFonts w:ascii="Times New Roman" w:hAnsi="Times New Roman"/>
                <w:b/>
                <w:sz w:val="16"/>
                <w:szCs w:val="16"/>
                <w:lang w:val="en-GB"/>
              </w:rPr>
            </w:pPr>
          </w:p>
          <w:p w:rsidR="00081A52" w:rsidRDefault="00081A52">
            <w:pPr>
              <w:pStyle w:val="Textoindependiente"/>
              <w:spacing w:line="360" w:lineRule="auto"/>
              <w:jc w:val="both"/>
              <w:rPr>
                <w:rFonts w:ascii="Times New Roman" w:hAnsi="Times New Roman"/>
                <w:b/>
                <w:sz w:val="16"/>
                <w:szCs w:val="16"/>
                <w:lang w:val="en-GB"/>
              </w:rPr>
            </w:pPr>
            <w:r>
              <w:rPr>
                <w:rFonts w:ascii="Times New Roman" w:hAnsi="Times New Roman"/>
                <w:b/>
                <w:sz w:val="16"/>
                <w:szCs w:val="16"/>
                <w:lang w:val="en-GB"/>
              </w:rPr>
              <w:t>ISSS</w:t>
            </w:r>
          </w:p>
        </w:tc>
        <w:tc>
          <w:tcPr>
            <w:tcW w:w="425" w:type="dxa"/>
          </w:tcPr>
          <w:p w:rsidR="00081A52" w:rsidRDefault="00081A52">
            <w:pPr>
              <w:pStyle w:val="Textoindependiente"/>
              <w:spacing w:line="360" w:lineRule="auto"/>
              <w:jc w:val="both"/>
              <w:rPr>
                <w:rFonts w:ascii="Times New Roman" w:hAnsi="Times New Roman"/>
                <w:b/>
                <w:sz w:val="16"/>
                <w:szCs w:val="16"/>
                <w:lang w:val="en-GB"/>
              </w:rPr>
            </w:pPr>
          </w:p>
        </w:tc>
        <w:tc>
          <w:tcPr>
            <w:tcW w:w="425" w:type="dxa"/>
          </w:tcPr>
          <w:p w:rsidR="00081A52" w:rsidRDefault="00081A52">
            <w:pPr>
              <w:pStyle w:val="Textoindependiente"/>
              <w:spacing w:line="360" w:lineRule="auto"/>
              <w:jc w:val="both"/>
              <w:rPr>
                <w:rFonts w:ascii="Times New Roman" w:hAnsi="Times New Roman"/>
                <w:b/>
                <w:sz w:val="16"/>
                <w:szCs w:val="16"/>
                <w:lang w:val="en-GB"/>
              </w:rPr>
            </w:pPr>
          </w:p>
        </w:tc>
        <w:tc>
          <w:tcPr>
            <w:tcW w:w="709"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709"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425" w:type="dxa"/>
          </w:tcPr>
          <w:p w:rsidR="00081A52" w:rsidRDefault="00081A52">
            <w:pPr>
              <w:pStyle w:val="Textoindependiente"/>
              <w:spacing w:line="360" w:lineRule="auto"/>
              <w:jc w:val="both"/>
              <w:rPr>
                <w:rFonts w:ascii="Times New Roman" w:hAnsi="Times New Roman"/>
                <w:b/>
                <w:sz w:val="16"/>
                <w:szCs w:val="16"/>
                <w:lang w:val="en-GB"/>
              </w:rPr>
            </w:pPr>
          </w:p>
        </w:tc>
        <w:tc>
          <w:tcPr>
            <w:tcW w:w="1276" w:type="dxa"/>
          </w:tcPr>
          <w:p w:rsidR="00081A52" w:rsidRDefault="00081A52">
            <w:pPr>
              <w:pStyle w:val="Textoindependiente"/>
              <w:spacing w:line="360" w:lineRule="auto"/>
              <w:jc w:val="both"/>
              <w:rPr>
                <w:rFonts w:ascii="Times New Roman" w:hAnsi="Times New Roman"/>
                <w:b/>
                <w:sz w:val="16"/>
                <w:szCs w:val="16"/>
                <w:lang w:val="en-GB"/>
              </w:rPr>
            </w:pPr>
          </w:p>
        </w:tc>
      </w:tr>
      <w:tr w:rsidR="00081A52">
        <w:tblPrEx>
          <w:tblCellMar>
            <w:top w:w="0" w:type="dxa"/>
            <w:bottom w:w="0" w:type="dxa"/>
          </w:tblCellMar>
        </w:tblPrEx>
        <w:tc>
          <w:tcPr>
            <w:tcW w:w="2055" w:type="dxa"/>
          </w:tcPr>
          <w:p w:rsidR="00081A52" w:rsidRDefault="00081A52">
            <w:pPr>
              <w:pStyle w:val="Textoindependiente"/>
              <w:spacing w:line="360" w:lineRule="auto"/>
              <w:jc w:val="both"/>
              <w:rPr>
                <w:rFonts w:ascii="Times New Roman" w:hAnsi="Times New Roman"/>
                <w:b/>
                <w:sz w:val="16"/>
                <w:szCs w:val="16"/>
                <w:lang w:val="en-GB"/>
              </w:rPr>
            </w:pPr>
          </w:p>
          <w:p w:rsidR="00081A52" w:rsidRDefault="00081A52">
            <w:pPr>
              <w:pStyle w:val="Textoindependiente"/>
              <w:spacing w:line="360" w:lineRule="auto"/>
              <w:jc w:val="both"/>
              <w:rPr>
                <w:rFonts w:ascii="Times New Roman" w:hAnsi="Times New Roman"/>
                <w:b/>
                <w:sz w:val="16"/>
                <w:szCs w:val="16"/>
                <w:lang w:val="en-GB"/>
              </w:rPr>
            </w:pPr>
            <w:r>
              <w:rPr>
                <w:rFonts w:ascii="Times New Roman" w:hAnsi="Times New Roman"/>
                <w:b/>
                <w:sz w:val="16"/>
                <w:szCs w:val="16"/>
                <w:lang w:val="en-GB"/>
              </w:rPr>
              <w:t>TOTAL</w:t>
            </w:r>
          </w:p>
        </w:tc>
        <w:tc>
          <w:tcPr>
            <w:tcW w:w="425" w:type="dxa"/>
          </w:tcPr>
          <w:p w:rsidR="00081A52" w:rsidRDefault="00081A52">
            <w:pPr>
              <w:pStyle w:val="Textoindependiente"/>
              <w:spacing w:line="360" w:lineRule="auto"/>
              <w:jc w:val="both"/>
              <w:rPr>
                <w:rFonts w:ascii="Times New Roman" w:hAnsi="Times New Roman"/>
                <w:b/>
                <w:sz w:val="16"/>
                <w:szCs w:val="16"/>
                <w:lang w:val="en-GB"/>
              </w:rPr>
            </w:pPr>
          </w:p>
        </w:tc>
        <w:tc>
          <w:tcPr>
            <w:tcW w:w="425" w:type="dxa"/>
          </w:tcPr>
          <w:p w:rsidR="00081A52" w:rsidRDefault="00081A52">
            <w:pPr>
              <w:pStyle w:val="Textoindependiente"/>
              <w:spacing w:line="360" w:lineRule="auto"/>
              <w:jc w:val="both"/>
              <w:rPr>
                <w:rFonts w:ascii="Times New Roman" w:hAnsi="Times New Roman"/>
                <w:b/>
                <w:sz w:val="16"/>
                <w:szCs w:val="16"/>
                <w:lang w:val="en-GB"/>
              </w:rPr>
            </w:pPr>
          </w:p>
        </w:tc>
        <w:tc>
          <w:tcPr>
            <w:tcW w:w="709"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709" w:type="dxa"/>
          </w:tcPr>
          <w:p w:rsidR="00081A52" w:rsidRDefault="00081A52">
            <w:pPr>
              <w:pStyle w:val="Textoindependiente"/>
              <w:spacing w:line="360" w:lineRule="auto"/>
              <w:jc w:val="both"/>
              <w:rPr>
                <w:rFonts w:ascii="Times New Roman" w:hAnsi="Times New Roman"/>
                <w:b/>
                <w:sz w:val="16"/>
                <w:szCs w:val="16"/>
                <w:lang w:val="en-GB"/>
              </w:rPr>
            </w:pPr>
          </w:p>
        </w:tc>
        <w:tc>
          <w:tcPr>
            <w:tcW w:w="567" w:type="dxa"/>
          </w:tcPr>
          <w:p w:rsidR="00081A52" w:rsidRDefault="00081A52">
            <w:pPr>
              <w:pStyle w:val="Textoindependiente"/>
              <w:spacing w:line="360" w:lineRule="auto"/>
              <w:jc w:val="both"/>
              <w:rPr>
                <w:rFonts w:ascii="Times New Roman" w:hAnsi="Times New Roman"/>
                <w:b/>
                <w:sz w:val="16"/>
                <w:szCs w:val="16"/>
                <w:lang w:val="en-GB"/>
              </w:rPr>
            </w:pPr>
          </w:p>
        </w:tc>
        <w:tc>
          <w:tcPr>
            <w:tcW w:w="425" w:type="dxa"/>
          </w:tcPr>
          <w:p w:rsidR="00081A52" w:rsidRDefault="00081A52">
            <w:pPr>
              <w:pStyle w:val="Textoindependiente"/>
              <w:spacing w:line="360" w:lineRule="auto"/>
              <w:jc w:val="both"/>
              <w:rPr>
                <w:rFonts w:ascii="Times New Roman" w:hAnsi="Times New Roman"/>
                <w:b/>
                <w:sz w:val="16"/>
                <w:szCs w:val="16"/>
                <w:lang w:val="en-GB"/>
              </w:rPr>
            </w:pPr>
          </w:p>
        </w:tc>
        <w:tc>
          <w:tcPr>
            <w:tcW w:w="1276" w:type="dxa"/>
          </w:tcPr>
          <w:p w:rsidR="00081A52" w:rsidRDefault="00081A52">
            <w:pPr>
              <w:pStyle w:val="Textoindependiente"/>
              <w:spacing w:line="360" w:lineRule="auto"/>
              <w:jc w:val="both"/>
              <w:rPr>
                <w:rFonts w:ascii="Times New Roman" w:hAnsi="Times New Roman"/>
                <w:b/>
                <w:sz w:val="16"/>
                <w:szCs w:val="16"/>
                <w:lang w:val="en-GB"/>
              </w:rPr>
            </w:pPr>
          </w:p>
        </w:tc>
      </w:tr>
    </w:tbl>
    <w:p w:rsidR="00081A52" w:rsidRDefault="00081A52">
      <w:pPr>
        <w:pStyle w:val="Textoindependiente"/>
        <w:spacing w:line="360" w:lineRule="auto"/>
        <w:jc w:val="both"/>
        <w:rPr>
          <w:rFonts w:ascii="Times New Roman" w:hAnsi="Times New Roman"/>
          <w:b/>
          <w:sz w:val="16"/>
          <w:szCs w:val="16"/>
          <w:lang w:val="en-GB"/>
        </w:rPr>
      </w:pPr>
    </w:p>
    <w:p w:rsidR="00081A52" w:rsidRDefault="00081A52">
      <w:pPr>
        <w:pStyle w:val="Textoindependiente"/>
        <w:spacing w:line="360" w:lineRule="auto"/>
        <w:jc w:val="both"/>
        <w:rPr>
          <w:rFonts w:ascii="Times New Roman" w:hAnsi="Times New Roman"/>
          <w:bCs/>
          <w:sz w:val="22"/>
        </w:rPr>
      </w:pPr>
      <w:r>
        <w:rPr>
          <w:rFonts w:ascii="Times New Roman" w:hAnsi="Times New Roman"/>
          <w:bCs/>
          <w:sz w:val="22"/>
          <w:szCs w:val="24"/>
          <w:lang w:val="es-ES"/>
        </w:rPr>
        <w:t xml:space="preserve">Estos  formularios sirvieron para orientar los requerimientos de información, pero los cálculos fueron realizados directamente en Hojas electrónicas vinculadas a la base de datos de Encuesta de Hogares de Propósitos Múltiples 2001. </w:t>
      </w:r>
    </w:p>
    <w:sectPr w:rsidR="00081A52">
      <w:headerReference w:type="default" r:id="rId25"/>
      <w:footerReference w:type="even" r:id="rId26"/>
      <w:footerReference w:type="default" r:id="rId27"/>
      <w:pgSz w:w="12242" w:h="15842" w:code="1"/>
      <w:pgMar w:top="1418" w:right="1701" w:bottom="1418" w:left="1701" w:header="720" w:footer="720"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4236" w:rsidRDefault="004B4236">
      <w:r>
        <w:separator/>
      </w:r>
    </w:p>
  </w:endnote>
  <w:endnote w:type="continuationSeparator" w:id="0">
    <w:p w:rsidR="004B4236" w:rsidRDefault="004B423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1A52" w:rsidRDefault="00081A52">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81A52" w:rsidRDefault="00081A52">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1A52" w:rsidRDefault="00081A52">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342C74">
      <w:rPr>
        <w:rStyle w:val="Nmerodepgina"/>
        <w:noProof/>
      </w:rPr>
      <w:t>47</w:t>
    </w:r>
    <w:r>
      <w:rPr>
        <w:rStyle w:val="Nmerodepgina"/>
      </w:rPr>
      <w:fldChar w:fldCharType="end"/>
    </w:r>
  </w:p>
  <w:p w:rsidR="00081A52" w:rsidRDefault="00081A52">
    <w:pPr>
      <w:pStyle w:val="Piedepgina"/>
      <w:ind w:right="360"/>
      <w:rPr>
        <w:rFonts w:ascii="Arial" w:hAnsi="Arial" w:cs="Arial"/>
        <w:sz w:val="16"/>
      </w:rPr>
    </w:pPr>
    <w:r>
      <w:rPr>
        <w:rFonts w:ascii="Arial" w:hAnsi="Arial" w:cs="Arial"/>
        <w:noProof/>
        <w:lang w:val="es-ES"/>
      </w:rPr>
      <w:pict>
        <v:line id="_x0000_s2050" style="position:absolute;z-index:251657728" from="-6pt,-.8pt" to="450pt,-.8pt" strokeweight="1pt"/>
      </w:pict>
    </w:r>
  </w:p>
  <w:p w:rsidR="00081A52" w:rsidRDefault="00081A52">
    <w:pPr>
      <w:pStyle w:val="Piedepgina"/>
      <w:ind w:right="360"/>
      <w:rPr>
        <w:rFonts w:ascii="Arial" w:hAnsi="Arial" w:cs="Arial"/>
        <w:sz w:val="16"/>
      </w:rPr>
    </w:pPr>
    <w:r>
      <w:rPr>
        <w:rFonts w:ascii="Arial" w:hAnsi="Arial" w:cs="Arial"/>
        <w:sz w:val="16"/>
      </w:rPr>
      <w:t xml:space="preserve">Condiciones de Equidad en </w:t>
    </w:r>
    <w:smartTag w:uri="urn:schemas-microsoft-com:office:smarttags" w:element="PersonName">
      <w:smartTagPr>
        <w:attr w:name="ProductID" w:val="la Disponibilidad"/>
      </w:smartTagPr>
      <w:r>
        <w:rPr>
          <w:rFonts w:ascii="Arial" w:hAnsi="Arial" w:cs="Arial"/>
          <w:sz w:val="16"/>
        </w:rPr>
        <w:t>la Disponibilidad</w:t>
      </w:r>
    </w:smartTag>
    <w:r>
      <w:rPr>
        <w:rFonts w:ascii="Arial" w:hAnsi="Arial" w:cs="Arial"/>
        <w:sz w:val="16"/>
      </w:rPr>
      <w:t xml:space="preserve"> y Utilización de los Servicios de Salud  en El Salvador 2001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4236" w:rsidRDefault="004B4236">
      <w:r>
        <w:separator/>
      </w:r>
    </w:p>
  </w:footnote>
  <w:footnote w:type="continuationSeparator" w:id="0">
    <w:p w:rsidR="004B4236" w:rsidRDefault="004B4236">
      <w:r>
        <w:continuationSeparator/>
      </w:r>
    </w:p>
  </w:footnote>
  <w:footnote w:id="1">
    <w:p w:rsidR="00081A52" w:rsidRDefault="00081A52">
      <w:pPr>
        <w:pStyle w:val="Textoindependiente"/>
        <w:spacing w:line="360" w:lineRule="auto"/>
        <w:jc w:val="both"/>
        <w:rPr>
          <w:rFonts w:ascii="Times New Roman" w:hAnsi="Times New Roman"/>
          <w:color w:val="FF0000"/>
          <w:sz w:val="20"/>
        </w:rPr>
      </w:pPr>
      <w:r>
        <w:rPr>
          <w:rStyle w:val="Refdenotaalpie"/>
        </w:rPr>
        <w:footnoteRef/>
      </w:r>
      <w:r>
        <w:t xml:space="preserve"> </w:t>
      </w:r>
      <w:r>
        <w:rPr>
          <w:rFonts w:ascii="Times New Roman" w:hAnsi="Times New Roman"/>
          <w:sz w:val="20"/>
        </w:rPr>
        <w:t>(</w:t>
      </w:r>
      <w:r>
        <w:rPr>
          <w:rFonts w:ascii="Times New Roman" w:hAnsi="Times New Roman"/>
          <w:b/>
          <w:sz w:val="20"/>
        </w:rPr>
        <w:t>Fuente</w:t>
      </w:r>
      <w:r>
        <w:rPr>
          <w:rFonts w:ascii="Times New Roman" w:hAnsi="Times New Roman"/>
          <w:sz w:val="20"/>
        </w:rPr>
        <w:t>) 6 tesis no convencionales sobre Participación. Manuscrito (1998), Bernardo Kliksberz</w:t>
      </w:r>
      <w:r>
        <w:rPr>
          <w:rFonts w:ascii="Times New Roman" w:hAnsi="Times New Roman"/>
          <w:color w:val="FF0000"/>
          <w:sz w:val="20"/>
        </w:rPr>
        <w:t xml:space="preserve"> </w:t>
      </w:r>
    </w:p>
    <w:p w:rsidR="00081A52" w:rsidRDefault="00081A52">
      <w:pPr>
        <w:pStyle w:val="Textonotapie"/>
        <w:rPr>
          <w:lang w:val="es-ES"/>
        </w:rPr>
      </w:pPr>
    </w:p>
  </w:footnote>
  <w:footnote w:id="2">
    <w:p w:rsidR="00081A52" w:rsidRDefault="00081A52">
      <w:pPr>
        <w:pStyle w:val="Textoindependiente"/>
        <w:spacing w:line="360" w:lineRule="auto"/>
        <w:jc w:val="both"/>
        <w:rPr>
          <w:rFonts w:ascii="Tahoma" w:hAnsi="Tahoma" w:cs="Tahoma"/>
          <w:color w:val="FF0000"/>
          <w:sz w:val="18"/>
        </w:rPr>
      </w:pPr>
      <w:r>
        <w:rPr>
          <w:rStyle w:val="Refdenotaalpie"/>
          <w:rFonts w:ascii="Tahoma" w:hAnsi="Tahoma" w:cs="Tahoma"/>
          <w:sz w:val="18"/>
        </w:rPr>
        <w:footnoteRef/>
      </w:r>
      <w:r>
        <w:rPr>
          <w:rFonts w:ascii="Tahoma" w:hAnsi="Tahoma" w:cs="Tahoma"/>
          <w:sz w:val="18"/>
        </w:rPr>
        <w:t xml:space="preserve"> </w:t>
      </w:r>
      <w:r>
        <w:rPr>
          <w:rFonts w:ascii="Tahoma" w:hAnsi="Tahoma" w:cs="Tahoma"/>
          <w:sz w:val="18"/>
          <w:lang w:val="es-ES"/>
        </w:rPr>
        <w:t xml:space="preserve"> </w:t>
      </w:r>
      <w:r>
        <w:rPr>
          <w:rFonts w:ascii="Tahoma" w:hAnsi="Tahoma" w:cs="Tahoma"/>
          <w:sz w:val="18"/>
        </w:rPr>
        <w:t>(wagstaff et. 1991) Equidad en Salud</w:t>
      </w:r>
      <w:r>
        <w:rPr>
          <w:rFonts w:ascii="Tahoma" w:hAnsi="Tahoma" w:cs="Tahoma"/>
          <w:color w:val="FF0000"/>
          <w:sz w:val="18"/>
        </w:rPr>
        <w:t xml:space="preserve">. </w:t>
      </w:r>
    </w:p>
    <w:p w:rsidR="00081A52" w:rsidRDefault="00081A52">
      <w:pPr>
        <w:pStyle w:val="Textonotapie"/>
        <w:rPr>
          <w:rFonts w:ascii="Tahoma" w:hAnsi="Tahoma" w:cs="Tahoma"/>
          <w:sz w:val="18"/>
        </w:rPr>
      </w:pPr>
    </w:p>
  </w:footnote>
  <w:footnote w:id="3">
    <w:p w:rsidR="00081A52" w:rsidRDefault="00081A52">
      <w:pPr>
        <w:pStyle w:val="Textonotapie"/>
        <w:rPr>
          <w:rFonts w:ascii="Tahoma" w:hAnsi="Tahoma" w:cs="Tahoma"/>
          <w:sz w:val="18"/>
          <w:lang w:val="es-ES"/>
        </w:rPr>
      </w:pPr>
      <w:r>
        <w:rPr>
          <w:rStyle w:val="Refdenotaalpie"/>
          <w:rFonts w:ascii="Tahoma" w:hAnsi="Tahoma" w:cs="Tahoma"/>
          <w:sz w:val="18"/>
        </w:rPr>
        <w:footnoteRef/>
      </w:r>
      <w:r>
        <w:rPr>
          <w:rFonts w:ascii="Tahoma" w:hAnsi="Tahoma" w:cs="Tahoma"/>
          <w:sz w:val="18"/>
        </w:rPr>
        <w:t xml:space="preserve"> (Le Grand, 1982)</w:t>
      </w:r>
    </w:p>
  </w:footnote>
  <w:footnote w:id="4">
    <w:p w:rsidR="00081A52" w:rsidRDefault="00081A52">
      <w:pPr>
        <w:pStyle w:val="Textoindependiente"/>
        <w:spacing w:line="360" w:lineRule="auto"/>
        <w:jc w:val="both"/>
        <w:rPr>
          <w:rFonts w:ascii="Tahoma" w:hAnsi="Tahoma" w:cs="Tahoma"/>
          <w:sz w:val="18"/>
          <w:szCs w:val="18"/>
        </w:rPr>
      </w:pPr>
      <w:r>
        <w:rPr>
          <w:rStyle w:val="Refdenotaalpie"/>
          <w:rFonts w:ascii="Tahoma" w:hAnsi="Tahoma" w:cs="Tahoma"/>
          <w:sz w:val="20"/>
        </w:rPr>
        <w:footnoteRef/>
      </w:r>
      <w:r>
        <w:t xml:space="preserve"> </w:t>
      </w:r>
      <w:r>
        <w:rPr>
          <w:lang w:val="es-ES"/>
        </w:rPr>
        <w:t xml:space="preserve"> </w:t>
      </w:r>
      <w:r>
        <w:rPr>
          <w:rFonts w:ascii="Tahoma" w:hAnsi="Tahoma" w:cs="Tahoma"/>
          <w:sz w:val="18"/>
          <w:szCs w:val="18"/>
        </w:rPr>
        <w:t>Fuente: Medición de las condiciones de Vida (2000), Diana Alarcón,  INDES ( Instituto Interamericano de Desarrollo Económico y Social )</w:t>
      </w:r>
    </w:p>
    <w:p w:rsidR="00081A52" w:rsidRDefault="00081A52">
      <w:pPr>
        <w:pStyle w:val="Textonotapie"/>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1A52" w:rsidRDefault="00081A52">
    <w:pPr>
      <w:pStyle w:val="Encabezado"/>
      <w:rPr>
        <w:lang w:val="es-ES"/>
      </w:rPr>
    </w:pPr>
  </w:p>
  <w:p w:rsidR="00081A52" w:rsidRDefault="00081A52">
    <w:pPr>
      <w:pStyle w:val="Encabezado"/>
      <w:rPr>
        <w:lang w:val="es-E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50C95"/>
    <w:multiLevelType w:val="hybridMultilevel"/>
    <w:tmpl w:val="A216C258"/>
    <w:lvl w:ilvl="0" w:tplc="0C0A000F">
      <w:start w:val="1"/>
      <w:numFmt w:val="decimal"/>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
    <w:nsid w:val="071C7FD0"/>
    <w:multiLevelType w:val="hybridMultilevel"/>
    <w:tmpl w:val="5AF0141E"/>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7FB50CD"/>
    <w:multiLevelType w:val="hybridMultilevel"/>
    <w:tmpl w:val="9CFAC26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
    <w:nsid w:val="0FE74FB5"/>
    <w:multiLevelType w:val="hybridMultilevel"/>
    <w:tmpl w:val="43C660EC"/>
    <w:lvl w:ilvl="0" w:tplc="FFFFFFFF">
      <w:start w:val="1"/>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1180201A"/>
    <w:multiLevelType w:val="hybridMultilevel"/>
    <w:tmpl w:val="20C8FE7E"/>
    <w:lvl w:ilvl="0" w:tplc="FFFFFFFF">
      <w:start w:val="1"/>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18D02819"/>
    <w:multiLevelType w:val="hybridMultilevel"/>
    <w:tmpl w:val="96EAF36A"/>
    <w:lvl w:ilvl="0" w:tplc="0C0A000F">
      <w:start w:val="1"/>
      <w:numFmt w:val="decimal"/>
      <w:lvlText w:val="%1."/>
      <w:lvlJc w:val="left"/>
      <w:pPr>
        <w:tabs>
          <w:tab w:val="num" w:pos="890"/>
        </w:tabs>
        <w:ind w:left="890" w:hanging="360"/>
      </w:pPr>
      <w:rPr>
        <w:rFonts w:hint="default"/>
      </w:rPr>
    </w:lvl>
    <w:lvl w:ilvl="1" w:tplc="0C0A000D">
      <w:start w:val="1"/>
      <w:numFmt w:val="bullet"/>
      <w:lvlText w:val=""/>
      <w:lvlJc w:val="left"/>
      <w:pPr>
        <w:tabs>
          <w:tab w:val="num" w:pos="1080"/>
        </w:tabs>
        <w:ind w:left="1080" w:hanging="360"/>
      </w:pPr>
      <w:rPr>
        <w:rFonts w:ascii="Wingdings" w:hAnsi="Wingdings" w:hint="default"/>
      </w:rPr>
    </w:lvl>
    <w:lvl w:ilvl="2" w:tplc="FFFFFFFF">
      <w:start w:val="1"/>
      <w:numFmt w:val="upperRoman"/>
      <w:lvlText w:val="%3."/>
      <w:lvlJc w:val="right"/>
      <w:pPr>
        <w:tabs>
          <w:tab w:val="num" w:pos="1620"/>
        </w:tabs>
        <w:ind w:left="1620" w:hanging="180"/>
      </w:pPr>
      <w:rPr>
        <w:rFont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6">
    <w:nsid w:val="2A303148"/>
    <w:multiLevelType w:val="hybridMultilevel"/>
    <w:tmpl w:val="8C029ACE"/>
    <w:lvl w:ilvl="0" w:tplc="084A7550">
      <w:start w:val="1"/>
      <w:numFmt w:val="decimal"/>
      <w:lvlText w:val="%1."/>
      <w:lvlJc w:val="left"/>
      <w:pPr>
        <w:tabs>
          <w:tab w:val="num" w:pos="720"/>
        </w:tabs>
        <w:ind w:left="720" w:hanging="360"/>
      </w:pPr>
      <w:rPr>
        <w:rFonts w:ascii="Times New Roman" w:hAnsi="Times New Roman" w:hint="default"/>
        <w:b w:val="0"/>
        <w:i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nsid w:val="2E8A0E81"/>
    <w:multiLevelType w:val="hybridMultilevel"/>
    <w:tmpl w:val="7BD61C54"/>
    <w:lvl w:ilvl="0" w:tplc="FFFFFFFF">
      <w:start w:val="2"/>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318610AF"/>
    <w:multiLevelType w:val="hybridMultilevel"/>
    <w:tmpl w:val="FD6A7CB2"/>
    <w:lvl w:ilvl="0" w:tplc="FFFFFFFF">
      <w:start w:val="1"/>
      <w:numFmt w:val="upperRoman"/>
      <w:lvlText w:val="%1."/>
      <w:lvlJc w:val="left"/>
      <w:pPr>
        <w:tabs>
          <w:tab w:val="num" w:pos="1080"/>
        </w:tabs>
        <w:ind w:left="1080" w:hanging="720"/>
      </w:pPr>
      <w:rPr>
        <w:rFonts w:hint="default"/>
      </w:rPr>
    </w:lvl>
    <w:lvl w:ilvl="1" w:tplc="3132993E">
      <w:start w:val="7"/>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nsid w:val="34D05377"/>
    <w:multiLevelType w:val="hybridMultilevel"/>
    <w:tmpl w:val="5E1A712A"/>
    <w:lvl w:ilvl="0" w:tplc="EB04968E">
      <w:start w:val="1"/>
      <w:numFmt w:val="bullet"/>
      <w:lvlText w:val=""/>
      <w:lvlJc w:val="left"/>
      <w:pPr>
        <w:tabs>
          <w:tab w:val="num" w:pos="1068"/>
        </w:tabs>
        <w:ind w:left="1068" w:hanging="360"/>
      </w:pPr>
      <w:rPr>
        <w:rFonts w:ascii="Webdings" w:eastAsia="Times New Roman" w:hAnsi="Webdings" w:cs="Times New Roman" w:hint="default"/>
      </w:rPr>
    </w:lvl>
    <w:lvl w:ilvl="1" w:tplc="5ADC3AEE" w:tentative="1">
      <w:start w:val="1"/>
      <w:numFmt w:val="bullet"/>
      <w:lvlText w:val="o"/>
      <w:lvlJc w:val="left"/>
      <w:pPr>
        <w:tabs>
          <w:tab w:val="num" w:pos="1788"/>
        </w:tabs>
        <w:ind w:left="1788" w:hanging="360"/>
      </w:pPr>
      <w:rPr>
        <w:rFonts w:ascii="Courier New" w:hAnsi="Courier New" w:hint="default"/>
      </w:rPr>
    </w:lvl>
    <w:lvl w:ilvl="2" w:tplc="50CAACFA" w:tentative="1">
      <w:start w:val="1"/>
      <w:numFmt w:val="bullet"/>
      <w:lvlText w:val=""/>
      <w:lvlJc w:val="left"/>
      <w:pPr>
        <w:tabs>
          <w:tab w:val="num" w:pos="2508"/>
        </w:tabs>
        <w:ind w:left="2508" w:hanging="360"/>
      </w:pPr>
      <w:rPr>
        <w:rFonts w:ascii="Wingdings" w:hAnsi="Wingdings" w:hint="default"/>
      </w:rPr>
    </w:lvl>
    <w:lvl w:ilvl="3" w:tplc="92C64D0E" w:tentative="1">
      <w:start w:val="1"/>
      <w:numFmt w:val="bullet"/>
      <w:lvlText w:val=""/>
      <w:lvlJc w:val="left"/>
      <w:pPr>
        <w:tabs>
          <w:tab w:val="num" w:pos="3228"/>
        </w:tabs>
        <w:ind w:left="3228" w:hanging="360"/>
      </w:pPr>
      <w:rPr>
        <w:rFonts w:ascii="Symbol" w:hAnsi="Symbol" w:hint="default"/>
      </w:rPr>
    </w:lvl>
    <w:lvl w:ilvl="4" w:tplc="6862F108" w:tentative="1">
      <w:start w:val="1"/>
      <w:numFmt w:val="bullet"/>
      <w:lvlText w:val="o"/>
      <w:lvlJc w:val="left"/>
      <w:pPr>
        <w:tabs>
          <w:tab w:val="num" w:pos="3948"/>
        </w:tabs>
        <w:ind w:left="3948" w:hanging="360"/>
      </w:pPr>
      <w:rPr>
        <w:rFonts w:ascii="Courier New" w:hAnsi="Courier New" w:hint="default"/>
      </w:rPr>
    </w:lvl>
    <w:lvl w:ilvl="5" w:tplc="6ABAF660" w:tentative="1">
      <w:start w:val="1"/>
      <w:numFmt w:val="bullet"/>
      <w:lvlText w:val=""/>
      <w:lvlJc w:val="left"/>
      <w:pPr>
        <w:tabs>
          <w:tab w:val="num" w:pos="4668"/>
        </w:tabs>
        <w:ind w:left="4668" w:hanging="360"/>
      </w:pPr>
      <w:rPr>
        <w:rFonts w:ascii="Wingdings" w:hAnsi="Wingdings" w:hint="default"/>
      </w:rPr>
    </w:lvl>
    <w:lvl w:ilvl="6" w:tplc="4C56E94E" w:tentative="1">
      <w:start w:val="1"/>
      <w:numFmt w:val="bullet"/>
      <w:lvlText w:val=""/>
      <w:lvlJc w:val="left"/>
      <w:pPr>
        <w:tabs>
          <w:tab w:val="num" w:pos="5388"/>
        </w:tabs>
        <w:ind w:left="5388" w:hanging="360"/>
      </w:pPr>
      <w:rPr>
        <w:rFonts w:ascii="Symbol" w:hAnsi="Symbol" w:hint="default"/>
      </w:rPr>
    </w:lvl>
    <w:lvl w:ilvl="7" w:tplc="F2961CD2" w:tentative="1">
      <w:start w:val="1"/>
      <w:numFmt w:val="bullet"/>
      <w:lvlText w:val="o"/>
      <w:lvlJc w:val="left"/>
      <w:pPr>
        <w:tabs>
          <w:tab w:val="num" w:pos="6108"/>
        </w:tabs>
        <w:ind w:left="6108" w:hanging="360"/>
      </w:pPr>
      <w:rPr>
        <w:rFonts w:ascii="Courier New" w:hAnsi="Courier New" w:hint="default"/>
      </w:rPr>
    </w:lvl>
    <w:lvl w:ilvl="8" w:tplc="268C3B1C" w:tentative="1">
      <w:start w:val="1"/>
      <w:numFmt w:val="bullet"/>
      <w:lvlText w:val=""/>
      <w:lvlJc w:val="left"/>
      <w:pPr>
        <w:tabs>
          <w:tab w:val="num" w:pos="6828"/>
        </w:tabs>
        <w:ind w:left="6828" w:hanging="360"/>
      </w:pPr>
      <w:rPr>
        <w:rFonts w:ascii="Wingdings" w:hAnsi="Wingdings" w:hint="default"/>
      </w:rPr>
    </w:lvl>
  </w:abstractNum>
  <w:abstractNum w:abstractNumId="10">
    <w:nsid w:val="34D20FB2"/>
    <w:multiLevelType w:val="hybridMultilevel"/>
    <w:tmpl w:val="8AA8C2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nsid w:val="446E7C0E"/>
    <w:multiLevelType w:val="hybridMultilevel"/>
    <w:tmpl w:val="3C087CCC"/>
    <w:lvl w:ilvl="0" w:tplc="FFFFFFFF">
      <w:start w:val="1"/>
      <w:numFmt w:val="upperRoman"/>
      <w:lvlText w:val="%1."/>
      <w:lvlJc w:val="right"/>
      <w:pPr>
        <w:tabs>
          <w:tab w:val="num" w:pos="1080"/>
        </w:tabs>
        <w:ind w:left="1080" w:hanging="180"/>
      </w:pPr>
    </w:lvl>
    <w:lvl w:ilvl="1" w:tplc="FCDC286C">
      <w:start w:val="1"/>
      <w:numFmt w:val="decimal"/>
      <w:lvlText w:val="%2."/>
      <w:lvlJc w:val="left"/>
      <w:pPr>
        <w:tabs>
          <w:tab w:val="num" w:pos="1800"/>
        </w:tabs>
        <w:ind w:left="1800" w:hanging="360"/>
      </w:pPr>
      <w:rPr>
        <w:rFonts w:hint="default"/>
      </w:rPr>
    </w:lvl>
    <w:lvl w:ilvl="2" w:tplc="1DC6AE10">
      <w:start w:val="1"/>
      <w:numFmt w:val="upperLetter"/>
      <w:lvlText w:val="%3)"/>
      <w:lvlJc w:val="left"/>
      <w:pPr>
        <w:tabs>
          <w:tab w:val="num" w:pos="2700"/>
        </w:tabs>
        <w:ind w:left="2700" w:hanging="360"/>
      </w:pPr>
      <w:rPr>
        <w:rFonts w:hint="default"/>
      </w:rPr>
    </w:lvl>
    <w:lvl w:ilvl="3" w:tplc="2E9EDF2A">
      <w:start w:val="1"/>
      <w:numFmt w:val="lowerLetter"/>
      <w:lvlText w:val="%4)"/>
      <w:lvlJc w:val="left"/>
      <w:pPr>
        <w:tabs>
          <w:tab w:val="num" w:pos="3240"/>
        </w:tabs>
        <w:ind w:left="3240" w:hanging="360"/>
      </w:pPr>
      <w:rPr>
        <w:rFonts w:hint="default"/>
      </w:r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2">
    <w:nsid w:val="4B444427"/>
    <w:multiLevelType w:val="hybridMultilevel"/>
    <w:tmpl w:val="99A4B696"/>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4CE70897"/>
    <w:multiLevelType w:val="hybridMultilevel"/>
    <w:tmpl w:val="D9DA3066"/>
    <w:lvl w:ilvl="0" w:tplc="FFFFFFFF">
      <w:start w:val="1"/>
      <w:numFmt w:val="decimal"/>
      <w:lvlText w:val="%1."/>
      <w:lvlJc w:val="left"/>
      <w:pPr>
        <w:tabs>
          <w:tab w:val="num" w:pos="720"/>
        </w:tabs>
        <w:ind w:left="720" w:hanging="360"/>
      </w:pPr>
    </w:lvl>
    <w:lvl w:ilvl="1" w:tplc="FFFFFFFF">
      <w:start w:val="7"/>
      <w:numFmt w:val="upperRoman"/>
      <w:lvlText w:val="%2."/>
      <w:lvlJc w:val="left"/>
      <w:pPr>
        <w:tabs>
          <w:tab w:val="num" w:pos="1800"/>
        </w:tabs>
        <w:ind w:left="1800" w:hanging="72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57496651"/>
    <w:multiLevelType w:val="hybridMultilevel"/>
    <w:tmpl w:val="F1E801A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57812864"/>
    <w:multiLevelType w:val="singleLevel"/>
    <w:tmpl w:val="0C0A000F"/>
    <w:lvl w:ilvl="0">
      <w:start w:val="1"/>
      <w:numFmt w:val="decimal"/>
      <w:lvlText w:val="%1."/>
      <w:lvlJc w:val="left"/>
      <w:pPr>
        <w:tabs>
          <w:tab w:val="num" w:pos="720"/>
        </w:tabs>
        <w:ind w:left="720" w:hanging="360"/>
      </w:pPr>
    </w:lvl>
  </w:abstractNum>
  <w:abstractNum w:abstractNumId="16">
    <w:nsid w:val="66BA42DB"/>
    <w:multiLevelType w:val="hybridMultilevel"/>
    <w:tmpl w:val="3CE22A0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698E3D96"/>
    <w:multiLevelType w:val="multilevel"/>
    <w:tmpl w:val="8A8466A0"/>
    <w:lvl w:ilvl="0">
      <w:start w:val="1"/>
      <w:numFmt w:val="decimal"/>
      <w:lvlText w:val="%1."/>
      <w:lvlJc w:val="left"/>
      <w:pPr>
        <w:tabs>
          <w:tab w:val="num" w:pos="360"/>
        </w:tabs>
        <w:ind w:left="360" w:hanging="360"/>
      </w:pPr>
    </w:lvl>
    <w:lvl w:ilvl="1">
      <w:start w:val="7"/>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nsid w:val="6C176D28"/>
    <w:multiLevelType w:val="hybridMultilevel"/>
    <w:tmpl w:val="C5D06FB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73960103"/>
    <w:multiLevelType w:val="hybridMultilevel"/>
    <w:tmpl w:val="FB64AF02"/>
    <w:lvl w:ilvl="0" w:tplc="084A7550">
      <w:start w:val="1"/>
      <w:numFmt w:val="decimal"/>
      <w:lvlText w:val="%1."/>
      <w:lvlJc w:val="left"/>
      <w:pPr>
        <w:tabs>
          <w:tab w:val="num" w:pos="360"/>
        </w:tabs>
        <w:ind w:left="360" w:hanging="360"/>
      </w:pPr>
      <w:rPr>
        <w:rFonts w:ascii="Times New Roman" w:hAnsi="Times New Roman" w:hint="default"/>
        <w:b w:val="0"/>
        <w:i w:val="0"/>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17"/>
  </w:num>
  <w:num w:numId="2">
    <w:abstractNumId w:val="15"/>
  </w:num>
  <w:num w:numId="3">
    <w:abstractNumId w:val="13"/>
  </w:num>
  <w:num w:numId="4">
    <w:abstractNumId w:val="6"/>
  </w:num>
  <w:num w:numId="5">
    <w:abstractNumId w:val="10"/>
  </w:num>
  <w:num w:numId="6">
    <w:abstractNumId w:val="8"/>
  </w:num>
  <w:num w:numId="7">
    <w:abstractNumId w:val="11"/>
  </w:num>
  <w:num w:numId="8">
    <w:abstractNumId w:val="9"/>
  </w:num>
  <w:num w:numId="9">
    <w:abstractNumId w:val="2"/>
  </w:num>
  <w:num w:numId="10">
    <w:abstractNumId w:val="5"/>
  </w:num>
  <w:num w:numId="11">
    <w:abstractNumId w:val="0"/>
  </w:num>
  <w:num w:numId="12">
    <w:abstractNumId w:val="14"/>
  </w:num>
  <w:num w:numId="13">
    <w:abstractNumId w:val="4"/>
  </w:num>
  <w:num w:numId="14">
    <w:abstractNumId w:val="16"/>
  </w:num>
  <w:num w:numId="15">
    <w:abstractNumId w:val="18"/>
  </w:num>
  <w:num w:numId="16">
    <w:abstractNumId w:val="7"/>
  </w:num>
  <w:num w:numId="17">
    <w:abstractNumId w:val="12"/>
  </w:num>
  <w:num w:numId="18">
    <w:abstractNumId w:val="1"/>
  </w:num>
  <w:num w:numId="19">
    <w:abstractNumId w:val="3"/>
  </w:num>
  <w:num w:numId="20">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stylePaneFormatFilter w:val="3F0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AE1E7E"/>
    <w:rsid w:val="00081A52"/>
    <w:rsid w:val="00152632"/>
    <w:rsid w:val="00342C74"/>
    <w:rsid w:val="00391373"/>
    <w:rsid w:val="004B4236"/>
    <w:rsid w:val="00720FB0"/>
    <w:rsid w:val="00767843"/>
    <w:rsid w:val="007A5EA9"/>
    <w:rsid w:val="00AE1E7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3074"/>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lang w:val="es-SV"/>
    </w:rPr>
  </w:style>
  <w:style w:type="paragraph" w:styleId="Ttulo1">
    <w:name w:val="heading 1"/>
    <w:basedOn w:val="Normal"/>
    <w:next w:val="Normal"/>
    <w:qFormat/>
    <w:pPr>
      <w:keepNext/>
      <w:jc w:val="center"/>
      <w:outlineLvl w:val="0"/>
    </w:pPr>
    <w:rPr>
      <w:b/>
      <w:bCs/>
      <w:lang w:val="es-ES"/>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jc w:val="center"/>
      <w:outlineLvl w:val="2"/>
    </w:pPr>
    <w:rPr>
      <w:rFonts w:ascii="Arial" w:hAnsi="Arial"/>
      <w:sz w:val="24"/>
      <w:lang w:val="es-ES_tradnl"/>
    </w:rPr>
  </w:style>
  <w:style w:type="paragraph" w:styleId="Ttulo4">
    <w:name w:val="heading 4"/>
    <w:basedOn w:val="Normal"/>
    <w:next w:val="Normal"/>
    <w:qFormat/>
    <w:pPr>
      <w:keepNext/>
      <w:jc w:val="both"/>
      <w:outlineLvl w:val="3"/>
    </w:pPr>
    <w:rPr>
      <w:rFonts w:ascii="Arial" w:hAnsi="Arial"/>
      <w:b/>
      <w:sz w:val="28"/>
      <w:lang w:val="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pPr>
      <w:jc w:val="center"/>
    </w:pPr>
    <w:rPr>
      <w:rFonts w:ascii="Arial Black" w:hAnsi="Arial Black"/>
      <w:sz w:val="28"/>
    </w:rPr>
  </w:style>
  <w:style w:type="paragraph" w:customStyle="1" w:styleId="BodyText2">
    <w:name w:val="Body Text 2"/>
    <w:basedOn w:val="Normal"/>
    <w:pPr>
      <w:spacing w:line="480" w:lineRule="auto"/>
      <w:ind w:left="1416" w:hanging="708"/>
      <w:jc w:val="both"/>
    </w:pPr>
    <w:rPr>
      <w:rFonts w:ascii="Arial" w:hAnsi="Arial"/>
      <w:sz w:val="24"/>
      <w:lang w:val="es-ES_tradnl"/>
    </w:rPr>
  </w:style>
  <w:style w:type="paragraph" w:styleId="Textoindependiente2">
    <w:name w:val="Body Text 2"/>
    <w:basedOn w:val="Normal"/>
    <w:pPr>
      <w:jc w:val="both"/>
    </w:pPr>
    <w:rPr>
      <w:rFonts w:ascii="Arial" w:hAnsi="Arial"/>
      <w:sz w:val="24"/>
    </w:rPr>
  </w:style>
  <w:style w:type="paragraph" w:styleId="Mapadeldocumento">
    <w:name w:val="Document Map"/>
    <w:basedOn w:val="Normal"/>
    <w:semiHidden/>
    <w:pPr>
      <w:shd w:val="clear" w:color="auto" w:fill="000080"/>
    </w:pPr>
    <w:rPr>
      <w:rFonts w:ascii="Tahoma" w:hAnsi="Tahoma" w:cs="Tahoma"/>
    </w:rP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styleId="Encabezado">
    <w:name w:val="header"/>
    <w:basedOn w:val="Normal"/>
    <w:pPr>
      <w:tabs>
        <w:tab w:val="center" w:pos="4252"/>
        <w:tab w:val="right" w:pos="8504"/>
      </w:tabs>
    </w:pPr>
  </w:style>
  <w:style w:type="paragraph" w:styleId="Textoindependiente3">
    <w:name w:val="Body Text 3"/>
    <w:basedOn w:val="Normal"/>
    <w:pPr>
      <w:jc w:val="center"/>
    </w:pPr>
    <w:rPr>
      <w:b/>
      <w:bCs/>
      <w:snapToGrid w:val="0"/>
      <w:color w:val="000000"/>
      <w:lang w:val="es-ES_tradnl"/>
    </w:rPr>
  </w:style>
  <w:style w:type="paragraph" w:styleId="Textonotapie">
    <w:name w:val="footnote text"/>
    <w:basedOn w:val="Normal"/>
    <w:semiHidden/>
  </w:style>
  <w:style w:type="character" w:styleId="Refdenotaalpie">
    <w:name w:val="footnote reference"/>
    <w:basedOn w:val="Fuentedeprrafopredeter"/>
    <w:semiHidden/>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wmf"/><Relationship Id="rId18" Type="http://schemas.openxmlformats.org/officeDocument/2006/relationships/chart" Target="charts/chart4.xm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chart" Target="charts/chart5.xml"/><Relationship Id="rId7" Type="http://schemas.openxmlformats.org/officeDocument/2006/relationships/image" Target="media/image1.jpeg"/><Relationship Id="rId12" Type="http://schemas.openxmlformats.org/officeDocument/2006/relationships/chart" Target="charts/chart2.xml"/><Relationship Id="rId17" Type="http://schemas.openxmlformats.org/officeDocument/2006/relationships/chart" Target="charts/chart3.xm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image" Target="media/image10.emf"/><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chart" Target="charts/chart8.xml"/><Relationship Id="rId5" Type="http://schemas.openxmlformats.org/officeDocument/2006/relationships/footnotes" Target="footnotes.xml"/><Relationship Id="rId15" Type="http://schemas.openxmlformats.org/officeDocument/2006/relationships/image" Target="media/image8.wmf"/><Relationship Id="rId23" Type="http://schemas.openxmlformats.org/officeDocument/2006/relationships/chart" Target="charts/chart7.xml"/><Relationship Id="rId28"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image" Target="media/image9.e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oleObject" Target="embeddings/Hoja_de_c_lculo_de_Microsoft_Office_Excel_97-20031.xls"/><Relationship Id="rId22" Type="http://schemas.openxmlformats.org/officeDocument/2006/relationships/chart" Target="charts/chart6.xml"/><Relationship Id="rId27"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Office_Excel2.xlsx"/><Relationship Id="rId2" Type="http://schemas.openxmlformats.org/officeDocument/2006/relationships/image" Target="../media/image6.jpeg"/><Relationship Id="rId1" Type="http://schemas.openxmlformats.org/officeDocument/2006/relationships/image" Target="../media/image5.jpeg"/></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chart1.xml><?xml version="1.0" encoding="utf-8"?>
<c:chartSpace xmlns:c="http://schemas.openxmlformats.org/drawingml/2006/chart" xmlns:a="http://schemas.openxmlformats.org/drawingml/2006/main" xmlns:r="http://schemas.openxmlformats.org/officeDocument/2006/relationships">
  <c:lang val="es-ES"/>
  <c:chart>
    <c:view3D>
      <c:hPercent val="43"/>
      <c:depthPercent val="100"/>
      <c:rAngAx val="1"/>
    </c:view3D>
    <c:floor>
      <c:spPr>
        <a:solidFill>
          <a:srgbClr val="C0C0C0"/>
        </a:solidFill>
        <a:ln w="3175">
          <a:solidFill>
            <a:srgbClr val="000000"/>
          </a:solidFill>
          <a:prstDash val="solid"/>
        </a:ln>
      </c:spPr>
    </c:floor>
    <c:sideWall>
      <c:spPr>
        <a:solidFill>
          <a:srgbClr val="FFFFFF"/>
        </a:solidFill>
        <a:ln w="3175">
          <a:solidFill>
            <a:srgbClr val="000000"/>
          </a:solidFill>
          <a:prstDash val="solid"/>
        </a:ln>
      </c:spPr>
    </c:sideWall>
    <c:backWall>
      <c:spPr>
        <a:solidFill>
          <a:srgbClr val="FFFFFF"/>
        </a:solidFill>
        <a:ln w="3175">
          <a:solidFill>
            <a:srgbClr val="000000"/>
          </a:solidFill>
          <a:prstDash val="solid"/>
        </a:ln>
      </c:spPr>
    </c:backWall>
    <c:plotArea>
      <c:layout>
        <c:manualLayout>
          <c:layoutTarget val="inner"/>
          <c:xMode val="edge"/>
          <c:yMode val="edge"/>
          <c:x val="6.0377358490566024E-2"/>
          <c:y val="4.6332046332046357E-2"/>
          <c:w val="0.9188679245283019"/>
          <c:h val="0.79536679536679511"/>
        </c:manualLayout>
      </c:layout>
      <c:bar3DChart>
        <c:barDir val="col"/>
        <c:grouping val="clustered"/>
        <c:ser>
          <c:idx val="0"/>
          <c:order val="0"/>
          <c:tx>
            <c:strRef>
              <c:f>Hoja1!$A$16</c:f>
              <c:strCache>
                <c:ptCount val="1"/>
                <c:pt idx="0">
                  <c:v>Urbana</c:v>
                </c:pt>
              </c:strCache>
            </c:strRef>
          </c:tx>
          <c:spPr>
            <a:solidFill>
              <a:srgbClr val="9999FF"/>
            </a:solidFill>
            <a:ln w="12704">
              <a:solidFill>
                <a:srgbClr val="000000"/>
              </a:solidFill>
              <a:prstDash val="solid"/>
            </a:ln>
          </c:spPr>
          <c:dLbls>
            <c:dLbl>
              <c:idx val="0"/>
              <c:layout>
                <c:manualLayout>
                  <c:xMode val="edge"/>
                  <c:yMode val="edge"/>
                  <c:x val="0.2075471698113209"/>
                  <c:y val="0.13513513513513523"/>
                </c:manualLayout>
              </c:layout>
              <c:showVal val="1"/>
            </c:dLbl>
            <c:dLbl>
              <c:idx val="1"/>
              <c:layout>
                <c:manualLayout>
                  <c:xMode val="edge"/>
                  <c:yMode val="edge"/>
                  <c:x val="0.47358490566037748"/>
                  <c:y val="8.1081081081081086E-2"/>
                </c:manualLayout>
              </c:layout>
              <c:showVal val="1"/>
            </c:dLbl>
            <c:dLbl>
              <c:idx val="2"/>
              <c:layout>
                <c:manualLayout>
                  <c:xMode val="edge"/>
                  <c:yMode val="edge"/>
                  <c:x val="0.72830188679245278"/>
                  <c:y val="5.7915057915057924E-2"/>
                </c:manualLayout>
              </c:layout>
              <c:showVal val="1"/>
            </c:dLbl>
            <c:numFmt formatCode="0.00%" sourceLinked="0"/>
            <c:spPr>
              <a:noFill/>
              <a:ln w="25409">
                <a:noFill/>
              </a:ln>
            </c:spPr>
            <c:txPr>
              <a:bodyPr/>
              <a:lstStyle/>
              <a:p>
                <a:pPr>
                  <a:defRPr sz="400" b="0" i="0" u="none" strike="noStrike" baseline="0">
                    <a:solidFill>
                      <a:srgbClr val="000000"/>
                    </a:solidFill>
                    <a:latin typeface="Arial"/>
                    <a:ea typeface="Arial"/>
                    <a:cs typeface="Arial"/>
                  </a:defRPr>
                </a:pPr>
                <a:endParaRPr lang="es-ES"/>
              </a:p>
            </c:txPr>
            <c:showVal val="1"/>
          </c:dLbls>
          <c:cat>
            <c:strLit>
              <c:ptCount val="1"/>
              <c:pt idx="0">
                <c:v>Agua  por cañeria</c:v>
              </c:pt>
            </c:strLit>
          </c:cat>
          <c:val>
            <c:numRef>
              <c:f>Hoja1!$A$17:$A$19</c:f>
              <c:numCache>
                <c:formatCode>0.00%</c:formatCode>
                <c:ptCount val="3"/>
                <c:pt idx="0">
                  <c:v>0.8510000000000002</c:v>
                </c:pt>
                <c:pt idx="1">
                  <c:v>0.93059999999999998</c:v>
                </c:pt>
                <c:pt idx="2">
                  <c:v>0.9770000000000002</c:v>
                </c:pt>
              </c:numCache>
            </c:numRef>
          </c:val>
        </c:ser>
        <c:ser>
          <c:idx val="1"/>
          <c:order val="1"/>
          <c:tx>
            <c:strRef>
              <c:f>Hoja1!$B$16</c:f>
              <c:strCache>
                <c:ptCount val="1"/>
                <c:pt idx="0">
                  <c:v>Rural</c:v>
                </c:pt>
              </c:strCache>
            </c:strRef>
          </c:tx>
          <c:spPr>
            <a:solidFill>
              <a:srgbClr val="993366"/>
            </a:solidFill>
            <a:ln w="12704">
              <a:solidFill>
                <a:srgbClr val="000000"/>
              </a:solidFill>
              <a:prstDash val="solid"/>
            </a:ln>
          </c:spPr>
          <c:dLbls>
            <c:dLbl>
              <c:idx val="0"/>
              <c:layout>
                <c:manualLayout>
                  <c:xMode val="edge"/>
                  <c:yMode val="edge"/>
                  <c:x val="0.28679245283018856"/>
                  <c:y val="0.47104247104247127"/>
                </c:manualLayout>
              </c:layout>
              <c:showVal val="1"/>
            </c:dLbl>
            <c:dLbl>
              <c:idx val="1"/>
              <c:layout>
                <c:manualLayout>
                  <c:xMode val="edge"/>
                  <c:yMode val="edge"/>
                  <c:x val="0.55094339622641531"/>
                  <c:y val="0.33204633204633205"/>
                </c:manualLayout>
              </c:layout>
              <c:showVal val="1"/>
            </c:dLbl>
            <c:dLbl>
              <c:idx val="2"/>
              <c:layout>
                <c:manualLayout>
                  <c:xMode val="edge"/>
                  <c:yMode val="edge"/>
                  <c:x val="0.8037735849056602"/>
                  <c:y val="0.18918918918918926"/>
                </c:manualLayout>
              </c:layout>
              <c:showVal val="1"/>
            </c:dLbl>
            <c:numFmt formatCode="0.00%" sourceLinked="0"/>
            <c:spPr>
              <a:noFill/>
              <a:ln w="25409">
                <a:noFill/>
              </a:ln>
            </c:spPr>
            <c:txPr>
              <a:bodyPr/>
              <a:lstStyle/>
              <a:p>
                <a:pPr>
                  <a:defRPr sz="400" b="0" i="0" u="none" strike="noStrike" baseline="0">
                    <a:solidFill>
                      <a:srgbClr val="000000"/>
                    </a:solidFill>
                    <a:latin typeface="Arial"/>
                    <a:ea typeface="Arial"/>
                    <a:cs typeface="Arial"/>
                  </a:defRPr>
                </a:pPr>
                <a:endParaRPr lang="es-ES"/>
              </a:p>
            </c:txPr>
            <c:showVal val="1"/>
          </c:dLbls>
          <c:cat>
            <c:strLit>
              <c:ptCount val="1"/>
              <c:pt idx="0">
                <c:v>Agua  por cañeria</c:v>
              </c:pt>
            </c:strLit>
          </c:cat>
          <c:val>
            <c:numRef>
              <c:f>Hoja1!$B$17:$B$19</c:f>
              <c:numCache>
                <c:formatCode>0.00%</c:formatCode>
                <c:ptCount val="3"/>
                <c:pt idx="0">
                  <c:v>0.34600000000000009</c:v>
                </c:pt>
                <c:pt idx="1">
                  <c:v>0.56230000000000002</c:v>
                </c:pt>
                <c:pt idx="2">
                  <c:v>0.77700000000000025</c:v>
                </c:pt>
              </c:numCache>
            </c:numRef>
          </c:val>
        </c:ser>
        <c:shape val="box"/>
        <c:axId val="208736256"/>
        <c:axId val="208737792"/>
        <c:axId val="0"/>
      </c:bar3DChart>
      <c:catAx>
        <c:axId val="208736256"/>
        <c:scaling>
          <c:orientation val="minMax"/>
        </c:scaling>
        <c:axPos val="b"/>
        <c:numFmt formatCode="General" sourceLinked="1"/>
        <c:tickLblPos val="low"/>
        <c:spPr>
          <a:ln w="3176">
            <a:solidFill>
              <a:srgbClr val="000000"/>
            </a:solidFill>
            <a:prstDash val="solid"/>
          </a:ln>
        </c:spPr>
        <c:txPr>
          <a:bodyPr rot="0" vert="horz"/>
          <a:lstStyle/>
          <a:p>
            <a:pPr>
              <a:defRPr sz="325" b="0" i="0" u="none" strike="noStrike" baseline="0">
                <a:solidFill>
                  <a:srgbClr val="000000"/>
                </a:solidFill>
                <a:latin typeface="Arial"/>
                <a:ea typeface="Arial"/>
                <a:cs typeface="Arial"/>
              </a:defRPr>
            </a:pPr>
            <a:endParaRPr lang="es-ES"/>
          </a:p>
        </c:txPr>
        <c:crossAx val="208737792"/>
        <c:crosses val="autoZero"/>
        <c:auto val="1"/>
        <c:lblAlgn val="ctr"/>
        <c:lblOffset val="100"/>
        <c:tickLblSkip val="1"/>
        <c:tickMarkSkip val="1"/>
      </c:catAx>
      <c:valAx>
        <c:axId val="208737792"/>
        <c:scaling>
          <c:orientation val="minMax"/>
        </c:scaling>
        <c:axPos val="l"/>
        <c:majorGridlines>
          <c:spPr>
            <a:ln w="3176">
              <a:solidFill>
                <a:srgbClr val="000000"/>
              </a:solidFill>
              <a:prstDash val="solid"/>
            </a:ln>
          </c:spPr>
        </c:majorGridlines>
        <c:numFmt formatCode="0.00%" sourceLinked="1"/>
        <c:tickLblPos val="nextTo"/>
        <c:spPr>
          <a:ln w="3176">
            <a:solidFill>
              <a:srgbClr val="000000"/>
            </a:solidFill>
            <a:prstDash val="solid"/>
          </a:ln>
        </c:spPr>
        <c:txPr>
          <a:bodyPr rot="0" vert="horz"/>
          <a:lstStyle/>
          <a:p>
            <a:pPr>
              <a:defRPr sz="325" b="0" i="0" u="none" strike="noStrike" baseline="0">
                <a:solidFill>
                  <a:srgbClr val="000000"/>
                </a:solidFill>
                <a:latin typeface="Arial"/>
                <a:ea typeface="Arial"/>
                <a:cs typeface="Arial"/>
              </a:defRPr>
            </a:pPr>
            <a:endParaRPr lang="es-ES"/>
          </a:p>
        </c:txPr>
        <c:crossAx val="208736256"/>
        <c:crosses val="autoZero"/>
        <c:crossBetween val="between"/>
      </c:valAx>
      <c:spPr>
        <a:noFill/>
        <a:ln w="25409">
          <a:noFill/>
        </a:ln>
      </c:spPr>
    </c:plotArea>
    <c:legend>
      <c:legendPos val="b"/>
      <c:layout>
        <c:manualLayout>
          <c:xMode val="edge"/>
          <c:yMode val="edge"/>
          <c:x val="0.14528301886792463"/>
          <c:y val="0.94208494208494209"/>
          <c:w val="0.11132075471698118"/>
          <c:h val="5.4054054054054078E-2"/>
        </c:manualLayout>
      </c:layout>
      <c:spPr>
        <a:solidFill>
          <a:srgbClr val="FFFFFF"/>
        </a:solidFill>
        <a:ln w="3176">
          <a:solidFill>
            <a:srgbClr val="000000"/>
          </a:solidFill>
          <a:prstDash val="solid"/>
        </a:ln>
      </c:spPr>
      <c:txPr>
        <a:bodyPr/>
        <a:lstStyle/>
        <a:p>
          <a:pPr>
            <a:defRPr sz="365" b="0" i="0" u="none" strike="noStrike" baseline="0">
              <a:solidFill>
                <a:srgbClr val="000000"/>
              </a:solidFill>
              <a:latin typeface="Arial"/>
              <a:ea typeface="Arial"/>
              <a:cs typeface="Arial"/>
            </a:defRPr>
          </a:pPr>
          <a:endParaRPr lang="es-ES"/>
        </a:p>
      </c:txPr>
    </c:legend>
    <c:plotVisOnly val="1"/>
    <c:dispBlanksAs val="gap"/>
  </c:chart>
  <c:spPr>
    <a:noFill/>
    <a:ln>
      <a:noFill/>
    </a:ln>
  </c:spPr>
  <c:txPr>
    <a:bodyPr/>
    <a:lstStyle/>
    <a:p>
      <a:pPr>
        <a:defRPr sz="325" b="0" i="0" u="none" strike="noStrike" baseline="0">
          <a:solidFill>
            <a:srgbClr val="000000"/>
          </a:solidFill>
          <a:latin typeface="Arial"/>
          <a:ea typeface="Arial"/>
          <a:cs typeface="Arial"/>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7.4257425742574254E-2"/>
          <c:y val="9.6330275229357776E-2"/>
          <c:w val="0.81518151815181539"/>
          <c:h val="0.73394495412844074"/>
        </c:manualLayout>
      </c:layout>
      <c:barChart>
        <c:barDir val="col"/>
        <c:grouping val="clustered"/>
        <c:ser>
          <c:idx val="0"/>
          <c:order val="0"/>
          <c:tx>
            <c:strRef>
              <c:f>Sheet1!$B$1</c:f>
              <c:strCache>
                <c:ptCount val="1"/>
                <c:pt idx="0">
                  <c:v>1988-93</c:v>
                </c:pt>
              </c:strCache>
            </c:strRef>
          </c:tx>
          <c:spPr>
            <a:gradFill rotWithShape="0">
              <a:gsLst>
                <a:gs pos="0">
                  <a:srgbClr val="CCFFFF">
                    <a:gamma/>
                    <a:tint val="53333"/>
                    <a:invGamma/>
                  </a:srgbClr>
                </a:gs>
                <a:gs pos="100000">
                  <a:srgbClr val="CCFFFF"/>
                </a:gs>
              </a:gsLst>
              <a:lin ang="18900000" scaled="1"/>
            </a:gradFill>
            <a:ln w="12628">
              <a:solidFill>
                <a:srgbClr val="000000"/>
              </a:solidFill>
              <a:prstDash val="solid"/>
            </a:ln>
          </c:spPr>
          <c:cat>
            <c:strRef>
              <c:f>Sheet1!$A$2:$A$6</c:f>
              <c:strCache>
                <c:ptCount val="5"/>
                <c:pt idx="0">
                  <c:v>Ninguno</c:v>
                </c:pt>
                <c:pt idx="1">
                  <c:v>1 a 3 años</c:v>
                </c:pt>
                <c:pt idx="2">
                  <c:v>4 a 6 años</c:v>
                </c:pt>
                <c:pt idx="3">
                  <c:v>7 a 9 años</c:v>
                </c:pt>
                <c:pt idx="4">
                  <c:v>10 ó más</c:v>
                </c:pt>
              </c:strCache>
            </c:strRef>
          </c:cat>
          <c:val>
            <c:numRef>
              <c:f>Sheet1!$B$2:$B$6</c:f>
              <c:numCache>
                <c:formatCode>General</c:formatCode>
                <c:ptCount val="5"/>
                <c:pt idx="0">
                  <c:v>5.37</c:v>
                </c:pt>
                <c:pt idx="1">
                  <c:v>4.7699999999999996</c:v>
                </c:pt>
                <c:pt idx="2">
                  <c:v>3.7600000000000002</c:v>
                </c:pt>
                <c:pt idx="3">
                  <c:v>3.11</c:v>
                </c:pt>
                <c:pt idx="4">
                  <c:v>2.34</c:v>
                </c:pt>
              </c:numCache>
            </c:numRef>
          </c:val>
        </c:ser>
        <c:ser>
          <c:idx val="1"/>
          <c:order val="1"/>
          <c:tx>
            <c:strRef>
              <c:f>Sheet1!$C$1</c:f>
              <c:strCache>
                <c:ptCount val="1"/>
                <c:pt idx="0">
                  <c:v>1993-98</c:v>
                </c:pt>
              </c:strCache>
            </c:strRef>
          </c:tx>
          <c:spPr>
            <a:blipFill dpi="0" rotWithShape="0">
              <a:blip xmlns:r="http://schemas.openxmlformats.org/officeDocument/2006/relationships" r:embed="rId1"/>
              <a:srcRect/>
              <a:tile tx="0" ty="0" sx="100000" sy="100000" flip="none" algn="tl"/>
            </a:blipFill>
            <a:ln w="12628">
              <a:solidFill>
                <a:srgbClr val="000000"/>
              </a:solidFill>
              <a:prstDash val="solid"/>
            </a:ln>
          </c:spPr>
          <c:cat>
            <c:strRef>
              <c:f>Sheet1!$A$2:$A$6</c:f>
              <c:strCache>
                <c:ptCount val="5"/>
                <c:pt idx="0">
                  <c:v>Ninguno</c:v>
                </c:pt>
                <c:pt idx="1">
                  <c:v>1 a 3 años</c:v>
                </c:pt>
                <c:pt idx="2">
                  <c:v>4 a 6 años</c:v>
                </c:pt>
                <c:pt idx="3">
                  <c:v>7 a 9 años</c:v>
                </c:pt>
                <c:pt idx="4">
                  <c:v>10 ó más</c:v>
                </c:pt>
              </c:strCache>
            </c:strRef>
          </c:cat>
          <c:val>
            <c:numRef>
              <c:f>Sheet1!$C$2:$C$6</c:f>
              <c:numCache>
                <c:formatCode>General</c:formatCode>
                <c:ptCount val="5"/>
                <c:pt idx="0">
                  <c:v>4.9800000000000004</c:v>
                </c:pt>
                <c:pt idx="1">
                  <c:v>4.68</c:v>
                </c:pt>
                <c:pt idx="2">
                  <c:v>3.58</c:v>
                </c:pt>
                <c:pt idx="3">
                  <c:v>3.23</c:v>
                </c:pt>
                <c:pt idx="4">
                  <c:v>2.3899999999999997</c:v>
                </c:pt>
              </c:numCache>
            </c:numRef>
          </c:val>
        </c:ser>
        <c:gapWidth val="50"/>
        <c:axId val="126424192"/>
        <c:axId val="126425728"/>
      </c:barChart>
      <c:catAx>
        <c:axId val="126424192"/>
        <c:scaling>
          <c:orientation val="minMax"/>
        </c:scaling>
        <c:axPos val="b"/>
        <c:numFmt formatCode="General" sourceLinked="1"/>
        <c:tickLblPos val="nextTo"/>
        <c:spPr>
          <a:ln w="3157">
            <a:solidFill>
              <a:srgbClr val="000000"/>
            </a:solidFill>
            <a:prstDash val="solid"/>
          </a:ln>
        </c:spPr>
        <c:txPr>
          <a:bodyPr rot="0" vert="horz"/>
          <a:lstStyle/>
          <a:p>
            <a:pPr>
              <a:defRPr sz="795" b="1" i="0" u="none" strike="noStrike" baseline="0">
                <a:solidFill>
                  <a:srgbClr val="000000"/>
                </a:solidFill>
                <a:latin typeface="Arial"/>
                <a:ea typeface="Arial"/>
                <a:cs typeface="Arial"/>
              </a:defRPr>
            </a:pPr>
            <a:endParaRPr lang="es-ES"/>
          </a:p>
        </c:txPr>
        <c:crossAx val="126425728"/>
        <c:crosses val="autoZero"/>
        <c:auto val="1"/>
        <c:lblAlgn val="ctr"/>
        <c:lblOffset val="100"/>
        <c:tickMarkSkip val="1"/>
      </c:catAx>
      <c:valAx>
        <c:axId val="126425728"/>
        <c:scaling>
          <c:orientation val="minMax"/>
        </c:scaling>
        <c:axPos val="l"/>
        <c:majorGridlines>
          <c:spPr>
            <a:ln w="3157">
              <a:solidFill>
                <a:srgbClr val="000000"/>
              </a:solidFill>
              <a:prstDash val="solid"/>
            </a:ln>
          </c:spPr>
        </c:majorGridlines>
        <c:numFmt formatCode="General" sourceLinked="1"/>
        <c:tickLblPos val="nextTo"/>
        <c:spPr>
          <a:ln w="3157">
            <a:solidFill>
              <a:srgbClr val="000000"/>
            </a:solidFill>
            <a:prstDash val="solid"/>
          </a:ln>
        </c:spPr>
        <c:txPr>
          <a:bodyPr rot="0" vert="horz"/>
          <a:lstStyle/>
          <a:p>
            <a:pPr>
              <a:defRPr sz="795" b="1" i="0" u="none" strike="noStrike" baseline="0">
                <a:solidFill>
                  <a:srgbClr val="000000"/>
                </a:solidFill>
                <a:latin typeface="Arial"/>
                <a:ea typeface="Arial"/>
                <a:cs typeface="Arial"/>
              </a:defRPr>
            </a:pPr>
            <a:endParaRPr lang="es-ES"/>
          </a:p>
        </c:txPr>
        <c:crossAx val="126424192"/>
        <c:crosses val="autoZero"/>
        <c:crossBetween val="between"/>
      </c:valAx>
      <c:dTable>
        <c:showHorzBorder val="1"/>
        <c:showVertBorder val="1"/>
        <c:showOutline val="1"/>
        <c:showKeys val="1"/>
        <c:spPr>
          <a:ln w="3157">
            <a:solidFill>
              <a:srgbClr val="000000"/>
            </a:solidFill>
            <a:prstDash val="solid"/>
          </a:ln>
        </c:spPr>
        <c:txPr>
          <a:bodyPr/>
          <a:lstStyle/>
          <a:p>
            <a:pPr>
              <a:defRPr sz="472" b="0" i="0" u="none" strike="noStrike" baseline="0">
                <a:solidFill>
                  <a:srgbClr val="000000"/>
                </a:solidFill>
                <a:latin typeface="Arial"/>
                <a:ea typeface="Arial"/>
                <a:cs typeface="Arial"/>
              </a:defRPr>
            </a:pPr>
            <a:endParaRPr lang="es-ES"/>
          </a:p>
        </c:txPr>
      </c:dTable>
      <c:spPr>
        <a:blipFill dpi="0" rotWithShape="0">
          <a:blip xmlns:r="http://schemas.openxmlformats.org/officeDocument/2006/relationships" r:embed="rId2"/>
          <a:srcRect/>
          <a:tile tx="0" ty="0" sx="100000" sy="100000" flip="none" algn="tl"/>
        </a:blipFill>
        <a:ln w="12628">
          <a:solidFill>
            <a:srgbClr val="808080"/>
          </a:solidFill>
          <a:prstDash val="solid"/>
        </a:ln>
      </c:spPr>
    </c:plotArea>
    <c:legend>
      <c:legendPos val="r"/>
      <c:layout>
        <c:manualLayout>
          <c:xMode val="edge"/>
          <c:yMode val="edge"/>
          <c:x val="0.89438943894389467"/>
          <c:y val="0.38073394495412843"/>
          <c:w val="0.10561056105610564"/>
          <c:h val="0.19266055045871555"/>
        </c:manualLayout>
      </c:layout>
      <c:spPr>
        <a:solidFill>
          <a:srgbClr val="FFFFFF"/>
        </a:solidFill>
        <a:ln w="25257">
          <a:noFill/>
        </a:ln>
      </c:spPr>
      <c:txPr>
        <a:bodyPr/>
        <a:lstStyle/>
        <a:p>
          <a:pPr>
            <a:defRPr sz="731" b="1"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a:noFill/>
    </a:ln>
  </c:spPr>
  <c:txPr>
    <a:bodyPr/>
    <a:lstStyle/>
    <a:p>
      <a:pPr>
        <a:defRPr sz="1168" b="0" i="0" u="none" strike="noStrike" baseline="0">
          <a:solidFill>
            <a:srgbClr val="000000"/>
          </a:solidFill>
          <a:latin typeface="Arial"/>
          <a:ea typeface="Arial"/>
          <a:cs typeface="Arial"/>
        </a:defRPr>
      </a:pPr>
      <a:endParaRPr lang="es-ES"/>
    </a:p>
  </c:txPr>
  <c:externalData r:id="rId3"/>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6.7150635208711465E-2"/>
          <c:y val="8.9795918367347016E-2"/>
          <c:w val="0.78221415607985478"/>
          <c:h val="0.75102040816326554"/>
        </c:manualLayout>
      </c:layout>
      <c:barChart>
        <c:barDir val="col"/>
        <c:grouping val="clustered"/>
        <c:ser>
          <c:idx val="0"/>
          <c:order val="0"/>
          <c:tx>
            <c:strRef>
              <c:f>Hoja1!$F$15</c:f>
              <c:strCache>
                <c:ptCount val="1"/>
                <c:pt idx="0">
                  <c:v>Nacional</c:v>
                </c:pt>
              </c:strCache>
            </c:strRef>
          </c:tx>
          <c:spPr>
            <a:solidFill>
              <a:srgbClr val="9999FF"/>
            </a:solidFill>
            <a:ln w="12660">
              <a:solidFill>
                <a:srgbClr val="000000"/>
              </a:solidFill>
              <a:prstDash val="solid"/>
            </a:ln>
          </c:spPr>
          <c:cat>
            <c:strRef>
              <c:f>Hoja1!$G$14:$I$14</c:f>
              <c:strCache>
                <c:ptCount val="3"/>
                <c:pt idx="0">
                  <c:v>1983/88</c:v>
                </c:pt>
                <c:pt idx="1">
                  <c:v>1988/93</c:v>
                </c:pt>
                <c:pt idx="2">
                  <c:v>1993/98</c:v>
                </c:pt>
              </c:strCache>
            </c:strRef>
          </c:cat>
          <c:val>
            <c:numRef>
              <c:f>Hoja1!$G$15:$I$15</c:f>
              <c:numCache>
                <c:formatCode>General</c:formatCode>
                <c:ptCount val="3"/>
                <c:pt idx="0">
                  <c:v>52.5</c:v>
                </c:pt>
                <c:pt idx="1">
                  <c:v>51</c:v>
                </c:pt>
                <c:pt idx="2">
                  <c:v>58</c:v>
                </c:pt>
              </c:numCache>
            </c:numRef>
          </c:val>
        </c:ser>
        <c:ser>
          <c:idx val="1"/>
          <c:order val="1"/>
          <c:tx>
            <c:strRef>
              <c:f>Hoja1!$F$16</c:f>
              <c:strCache>
                <c:ptCount val="1"/>
                <c:pt idx="0">
                  <c:v>Urbano</c:v>
                </c:pt>
              </c:strCache>
            </c:strRef>
          </c:tx>
          <c:spPr>
            <a:gradFill rotWithShape="0">
              <a:gsLst>
                <a:gs pos="0">
                  <a:srgbClr val="FF99CC"/>
                </a:gs>
                <a:gs pos="100000">
                  <a:srgbClr val="FF99CC">
                    <a:gamma/>
                    <a:tint val="0"/>
                    <a:invGamma/>
                  </a:srgbClr>
                </a:gs>
              </a:gsLst>
              <a:lin ang="5400000" scaled="1"/>
            </a:gradFill>
            <a:ln w="12660">
              <a:solidFill>
                <a:srgbClr val="000000"/>
              </a:solidFill>
              <a:prstDash val="solid"/>
            </a:ln>
          </c:spPr>
          <c:cat>
            <c:strRef>
              <c:f>Hoja1!$G$14:$I$14</c:f>
              <c:strCache>
                <c:ptCount val="3"/>
                <c:pt idx="0">
                  <c:v>1983/88</c:v>
                </c:pt>
                <c:pt idx="1">
                  <c:v>1988/93</c:v>
                </c:pt>
                <c:pt idx="2">
                  <c:v>1993/98</c:v>
                </c:pt>
              </c:strCache>
            </c:strRef>
          </c:cat>
          <c:val>
            <c:numRef>
              <c:f>Hoja1!$G$16:$I$16</c:f>
              <c:numCache>
                <c:formatCode>General</c:formatCode>
                <c:ptCount val="3"/>
                <c:pt idx="0">
                  <c:v>65.3</c:v>
                </c:pt>
                <c:pt idx="1">
                  <c:v>56.6</c:v>
                </c:pt>
                <c:pt idx="2">
                  <c:v>77.8</c:v>
                </c:pt>
              </c:numCache>
            </c:numRef>
          </c:val>
        </c:ser>
        <c:ser>
          <c:idx val="2"/>
          <c:order val="2"/>
          <c:tx>
            <c:strRef>
              <c:f>Hoja1!$F$17</c:f>
              <c:strCache>
                <c:ptCount val="1"/>
                <c:pt idx="0">
                  <c:v>Rural</c:v>
                </c:pt>
              </c:strCache>
            </c:strRef>
          </c:tx>
          <c:spPr>
            <a:solidFill>
              <a:srgbClr val="FFFFCC"/>
            </a:solidFill>
            <a:ln w="12660">
              <a:solidFill>
                <a:srgbClr val="000000"/>
              </a:solidFill>
              <a:prstDash val="solid"/>
            </a:ln>
          </c:spPr>
          <c:cat>
            <c:strRef>
              <c:f>Hoja1!$G$14:$I$14</c:f>
              <c:strCache>
                <c:ptCount val="3"/>
                <c:pt idx="0">
                  <c:v>1983/88</c:v>
                </c:pt>
                <c:pt idx="1">
                  <c:v>1988/93</c:v>
                </c:pt>
                <c:pt idx="2">
                  <c:v>1993/98</c:v>
                </c:pt>
              </c:strCache>
            </c:strRef>
          </c:cat>
          <c:val>
            <c:numRef>
              <c:f>Hoja1!$G$17:$I$17</c:f>
              <c:numCache>
                <c:formatCode>General</c:formatCode>
                <c:ptCount val="3"/>
                <c:pt idx="0">
                  <c:v>33.700000000000003</c:v>
                </c:pt>
                <c:pt idx="1">
                  <c:v>33.6</c:v>
                </c:pt>
                <c:pt idx="2">
                  <c:v>42.7</c:v>
                </c:pt>
              </c:numCache>
            </c:numRef>
          </c:val>
        </c:ser>
        <c:axId val="209155200"/>
        <c:axId val="209156736"/>
      </c:barChart>
      <c:catAx>
        <c:axId val="209155200"/>
        <c:scaling>
          <c:orientation val="minMax"/>
        </c:scaling>
        <c:axPos val="b"/>
        <c:numFmt formatCode="General" sourceLinked="1"/>
        <c:tickLblPos val="nextTo"/>
        <c:spPr>
          <a:ln w="3165">
            <a:solidFill>
              <a:srgbClr val="000000"/>
            </a:solidFill>
            <a:prstDash val="solid"/>
          </a:ln>
        </c:spPr>
        <c:txPr>
          <a:bodyPr rot="0" vert="horz"/>
          <a:lstStyle/>
          <a:p>
            <a:pPr>
              <a:defRPr sz="872" b="0" i="0" u="none" strike="noStrike" baseline="0">
                <a:solidFill>
                  <a:srgbClr val="000000"/>
                </a:solidFill>
                <a:latin typeface="Arial"/>
                <a:ea typeface="Arial"/>
                <a:cs typeface="Arial"/>
              </a:defRPr>
            </a:pPr>
            <a:endParaRPr lang="es-ES"/>
          </a:p>
        </c:txPr>
        <c:crossAx val="209156736"/>
        <c:crosses val="autoZero"/>
        <c:auto val="1"/>
        <c:lblAlgn val="ctr"/>
        <c:lblOffset val="100"/>
        <c:tickLblSkip val="1"/>
        <c:tickMarkSkip val="1"/>
      </c:catAx>
      <c:valAx>
        <c:axId val="209156736"/>
        <c:scaling>
          <c:orientation val="minMax"/>
        </c:scaling>
        <c:axPos val="l"/>
        <c:majorGridlines>
          <c:spPr>
            <a:ln w="3165">
              <a:solidFill>
                <a:srgbClr val="000000"/>
              </a:solidFill>
              <a:prstDash val="solid"/>
            </a:ln>
          </c:spPr>
        </c:majorGridlines>
        <c:numFmt formatCode="General" sourceLinked="1"/>
        <c:tickLblPos val="nextTo"/>
        <c:spPr>
          <a:ln w="3165">
            <a:solidFill>
              <a:srgbClr val="000000"/>
            </a:solidFill>
            <a:prstDash val="solid"/>
          </a:ln>
        </c:spPr>
        <c:txPr>
          <a:bodyPr rot="0" vert="horz"/>
          <a:lstStyle/>
          <a:p>
            <a:pPr>
              <a:defRPr sz="872" b="0" i="0" u="none" strike="noStrike" baseline="0">
                <a:solidFill>
                  <a:srgbClr val="000000"/>
                </a:solidFill>
                <a:latin typeface="Arial"/>
                <a:ea typeface="Arial"/>
                <a:cs typeface="Arial"/>
              </a:defRPr>
            </a:pPr>
            <a:endParaRPr lang="es-ES"/>
          </a:p>
        </c:txPr>
        <c:crossAx val="209155200"/>
        <c:crosses val="autoZero"/>
        <c:crossBetween val="between"/>
      </c:valAx>
      <c:spPr>
        <a:gradFill rotWithShape="0">
          <a:gsLst>
            <a:gs pos="0">
              <a:srgbClr val="CCFFFF"/>
            </a:gs>
            <a:gs pos="100000">
              <a:srgbClr val="CCFFFF">
                <a:gamma/>
                <a:tint val="0"/>
                <a:invGamma/>
              </a:srgbClr>
            </a:gs>
          </a:gsLst>
          <a:lin ang="0" scaled="1"/>
        </a:gradFill>
        <a:ln w="12660">
          <a:solidFill>
            <a:srgbClr val="808080"/>
          </a:solidFill>
          <a:prstDash val="solid"/>
        </a:ln>
      </c:spPr>
    </c:plotArea>
    <c:legend>
      <c:legendPos val="r"/>
      <c:layout>
        <c:manualLayout>
          <c:xMode val="edge"/>
          <c:yMode val="edge"/>
          <c:x val="0.86751361161524498"/>
          <c:y val="0.33877551020408186"/>
          <c:w val="0.12522686025408339"/>
          <c:h val="0.24897959183673476"/>
        </c:manualLayout>
      </c:layout>
      <c:spPr>
        <a:solidFill>
          <a:srgbClr val="FFFFFF"/>
        </a:solidFill>
        <a:ln w="3165">
          <a:solidFill>
            <a:srgbClr val="000000"/>
          </a:solidFill>
          <a:prstDash val="solid"/>
        </a:ln>
      </c:spPr>
      <c:txPr>
        <a:bodyPr/>
        <a:lstStyle/>
        <a:p>
          <a:pPr>
            <a:defRPr sz="802"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a:noFill/>
    </a:ln>
  </c:spPr>
  <c:txPr>
    <a:bodyPr/>
    <a:lstStyle/>
    <a:p>
      <a:pPr>
        <a:defRPr sz="872" b="0" i="0" u="none" strike="noStrike" baseline="0">
          <a:solidFill>
            <a:srgbClr val="000000"/>
          </a:solidFill>
          <a:latin typeface="Arial"/>
          <a:ea typeface="Arial"/>
          <a:cs typeface="Arial"/>
        </a:defRPr>
      </a:pPr>
      <a:endParaRPr lang="es-ES"/>
    </a:p>
  </c:tx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lang val="es-ES"/>
  <c:chart>
    <c:plotArea>
      <c:layout>
        <c:manualLayout>
          <c:layoutTarget val="inner"/>
          <c:xMode val="edge"/>
          <c:yMode val="edge"/>
          <c:x val="0.12033898305084745"/>
          <c:y val="9.4170403587443982E-2"/>
          <c:w val="0.7559322033898308"/>
          <c:h val="0.49775784753363228"/>
        </c:manualLayout>
      </c:layout>
      <c:barChart>
        <c:barDir val="col"/>
        <c:grouping val="clustered"/>
        <c:ser>
          <c:idx val="0"/>
          <c:order val="0"/>
          <c:tx>
            <c:strRef>
              <c:f>Hoja1!$F$15</c:f>
              <c:strCache>
                <c:ptCount val="1"/>
                <c:pt idx="0">
                  <c:v>Nacional</c:v>
                </c:pt>
              </c:strCache>
            </c:strRef>
          </c:tx>
          <c:spPr>
            <a:solidFill>
              <a:srgbClr val="9999FF"/>
            </a:solidFill>
            <a:ln w="25356">
              <a:noFill/>
            </a:ln>
          </c:spPr>
          <c:cat>
            <c:strRef>
              <c:f>Hoja1!$G$14:$I$14</c:f>
              <c:strCache>
                <c:ptCount val="3"/>
                <c:pt idx="0">
                  <c:v>1983/88</c:v>
                </c:pt>
                <c:pt idx="1">
                  <c:v>1988/93</c:v>
                </c:pt>
                <c:pt idx="2">
                  <c:v>1993/98</c:v>
                </c:pt>
              </c:strCache>
            </c:strRef>
          </c:cat>
          <c:val>
            <c:numRef>
              <c:f>Hoja1!$G$15:$I$15</c:f>
              <c:numCache>
                <c:formatCode>General</c:formatCode>
                <c:ptCount val="3"/>
                <c:pt idx="0">
                  <c:v>37.700000000000003</c:v>
                </c:pt>
                <c:pt idx="1">
                  <c:v>36.4</c:v>
                </c:pt>
                <c:pt idx="2">
                  <c:v>32.4</c:v>
                </c:pt>
              </c:numCache>
            </c:numRef>
          </c:val>
        </c:ser>
        <c:ser>
          <c:idx val="1"/>
          <c:order val="1"/>
          <c:tx>
            <c:strRef>
              <c:f>Hoja1!$F$16</c:f>
              <c:strCache>
                <c:ptCount val="1"/>
                <c:pt idx="0">
                  <c:v>Urbano</c:v>
                </c:pt>
              </c:strCache>
            </c:strRef>
          </c:tx>
          <c:spPr>
            <a:solidFill>
              <a:srgbClr val="993366"/>
            </a:solidFill>
            <a:ln w="12678">
              <a:solidFill>
                <a:srgbClr val="000000"/>
              </a:solidFill>
              <a:prstDash val="solid"/>
            </a:ln>
          </c:spPr>
          <c:cat>
            <c:strRef>
              <c:f>Hoja1!$G$14:$I$14</c:f>
              <c:strCache>
                <c:ptCount val="3"/>
                <c:pt idx="0">
                  <c:v>1983/88</c:v>
                </c:pt>
                <c:pt idx="1">
                  <c:v>1988/93</c:v>
                </c:pt>
                <c:pt idx="2">
                  <c:v>1993/98</c:v>
                </c:pt>
              </c:strCache>
            </c:strRef>
          </c:cat>
          <c:val>
            <c:numRef>
              <c:f>Hoja1!$G$16:$I$16</c:f>
              <c:numCache>
                <c:formatCode>General</c:formatCode>
                <c:ptCount val="3"/>
                <c:pt idx="0">
                  <c:v>26.1</c:v>
                </c:pt>
                <c:pt idx="1">
                  <c:v>34</c:v>
                </c:pt>
                <c:pt idx="2">
                  <c:v>17</c:v>
                </c:pt>
              </c:numCache>
            </c:numRef>
          </c:val>
        </c:ser>
        <c:ser>
          <c:idx val="2"/>
          <c:order val="2"/>
          <c:tx>
            <c:strRef>
              <c:f>Hoja1!$F$17</c:f>
              <c:strCache>
                <c:ptCount val="1"/>
                <c:pt idx="0">
                  <c:v>Rural</c:v>
                </c:pt>
              </c:strCache>
            </c:strRef>
          </c:tx>
          <c:spPr>
            <a:solidFill>
              <a:srgbClr val="FFFFCC"/>
            </a:solidFill>
            <a:ln w="25356">
              <a:noFill/>
            </a:ln>
          </c:spPr>
          <c:cat>
            <c:strRef>
              <c:f>Hoja1!$G$14:$I$14</c:f>
              <c:strCache>
                <c:ptCount val="3"/>
                <c:pt idx="0">
                  <c:v>1983/88</c:v>
                </c:pt>
                <c:pt idx="1">
                  <c:v>1988/93</c:v>
                </c:pt>
                <c:pt idx="2">
                  <c:v>1993/98</c:v>
                </c:pt>
              </c:strCache>
            </c:strRef>
          </c:cat>
          <c:val>
            <c:numRef>
              <c:f>Hoja1!$G$17:$I$17</c:f>
              <c:numCache>
                <c:formatCode>General</c:formatCode>
                <c:ptCount val="3"/>
                <c:pt idx="0">
                  <c:v>53.7</c:v>
                </c:pt>
                <c:pt idx="1">
                  <c:v>48.7</c:v>
                </c:pt>
                <c:pt idx="2">
                  <c:v>44.3</c:v>
                </c:pt>
              </c:numCache>
            </c:numRef>
          </c:val>
        </c:ser>
        <c:axId val="209132928"/>
        <c:axId val="209171584"/>
      </c:barChart>
      <c:catAx>
        <c:axId val="209132928"/>
        <c:scaling>
          <c:orientation val="minMax"/>
        </c:scaling>
        <c:axPos val="b"/>
        <c:numFmt formatCode="General" sourceLinked="1"/>
        <c:tickLblPos val="nextTo"/>
        <c:spPr>
          <a:ln w="3169">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209171584"/>
        <c:crosses val="autoZero"/>
        <c:auto val="1"/>
        <c:lblAlgn val="ctr"/>
        <c:lblOffset val="100"/>
        <c:tickMarkSkip val="1"/>
      </c:catAx>
      <c:valAx>
        <c:axId val="209171584"/>
        <c:scaling>
          <c:orientation val="minMax"/>
        </c:scaling>
        <c:axPos val="l"/>
        <c:majorGridlines>
          <c:spPr>
            <a:ln w="3169">
              <a:solidFill>
                <a:srgbClr val="000000"/>
              </a:solidFill>
              <a:prstDash val="solid"/>
            </a:ln>
          </c:spPr>
        </c:majorGridlines>
        <c:numFmt formatCode="General" sourceLinked="1"/>
        <c:tickLblPos val="nextTo"/>
        <c:spPr>
          <a:ln w="3169">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209132928"/>
        <c:crosses val="autoZero"/>
        <c:crossBetween val="between"/>
      </c:valAx>
      <c:dTable>
        <c:showHorzBorder val="1"/>
        <c:showVertBorder val="1"/>
        <c:showOutline val="1"/>
        <c:showKeys val="1"/>
        <c:spPr>
          <a:ln w="3169">
            <a:solidFill>
              <a:srgbClr val="000000"/>
            </a:solidFill>
            <a:prstDash val="solid"/>
          </a:ln>
        </c:spPr>
        <c:txPr>
          <a:bodyPr/>
          <a:lstStyle/>
          <a:p>
            <a:pPr>
              <a:defRPr sz="799" b="0" i="0" u="none" strike="noStrike" baseline="0">
                <a:solidFill>
                  <a:srgbClr val="000000"/>
                </a:solidFill>
                <a:latin typeface="Arial"/>
                <a:ea typeface="Arial"/>
                <a:cs typeface="Arial"/>
              </a:defRPr>
            </a:pPr>
            <a:endParaRPr lang="es-ES"/>
          </a:p>
        </c:txPr>
      </c:dTable>
      <c:spPr>
        <a:solidFill>
          <a:srgbClr val="C0C0C0"/>
        </a:solidFill>
        <a:ln w="12678">
          <a:solidFill>
            <a:srgbClr val="808080"/>
          </a:solidFill>
          <a:prstDash val="solid"/>
        </a:ln>
      </c:spPr>
    </c:plotArea>
    <c:legend>
      <c:legendPos val="r"/>
      <c:layout>
        <c:manualLayout>
          <c:xMode val="edge"/>
          <c:yMode val="edge"/>
          <c:x val="0.89322033898305087"/>
          <c:y val="0.21076233183856513"/>
          <c:w val="0.1"/>
          <c:h val="0.26008968609865485"/>
        </c:manualLayout>
      </c:layout>
      <c:spPr>
        <a:solidFill>
          <a:srgbClr val="FFFFFF"/>
        </a:solidFill>
        <a:ln w="3169">
          <a:solidFill>
            <a:srgbClr val="000000"/>
          </a:solidFill>
          <a:prstDash val="solid"/>
        </a:ln>
      </c:spPr>
      <c:txPr>
        <a:bodyPr/>
        <a:lstStyle/>
        <a:p>
          <a:pPr>
            <a:defRPr sz="734"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a:noFill/>
    </a:ln>
  </c:spPr>
  <c:txPr>
    <a:bodyPr/>
    <a:lstStyle/>
    <a:p>
      <a:pPr>
        <a:defRPr sz="799" b="0" i="0" u="none" strike="noStrike" baseline="0">
          <a:solidFill>
            <a:srgbClr val="000000"/>
          </a:solidFill>
          <a:latin typeface="Arial"/>
          <a:ea typeface="Arial"/>
          <a:cs typeface="Arial"/>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2863070539419086"/>
          <c:y val="8.5271317829457349E-2"/>
          <c:w val="0.85269709543568484"/>
          <c:h val="0.65116279069767469"/>
        </c:manualLayout>
      </c:layout>
      <c:barChart>
        <c:barDir val="col"/>
        <c:grouping val="clustered"/>
        <c:ser>
          <c:idx val="0"/>
          <c:order val="0"/>
          <c:tx>
            <c:strRef>
              <c:f>HOSP!$A$14</c:f>
              <c:strCache>
                <c:ptCount val="1"/>
                <c:pt idx="0">
                  <c:v>M S P A S</c:v>
                </c:pt>
              </c:strCache>
            </c:strRef>
          </c:tx>
          <c:spPr>
            <a:solidFill>
              <a:srgbClr val="9999FF"/>
            </a:solidFill>
            <a:ln w="8707">
              <a:solidFill>
                <a:srgbClr val="000000"/>
              </a:solidFill>
              <a:prstDash val="solid"/>
            </a:ln>
          </c:spPr>
          <c:cat>
            <c:strRef>
              <c:f>HOSP!$C$11:$L$11</c:f>
              <c:strCache>
                <c:ptCount val="10"/>
                <c:pt idx="0">
                  <c:v>I    ³</c:v>
                </c:pt>
                <c:pt idx="1">
                  <c:v>II    ³</c:v>
                </c:pt>
                <c:pt idx="2">
                  <c:v>III    ³</c:v>
                </c:pt>
                <c:pt idx="3">
                  <c:v>IV    ³</c:v>
                </c:pt>
                <c:pt idx="4">
                  <c:v>V     ³</c:v>
                </c:pt>
                <c:pt idx="5">
                  <c:v>VI    ³</c:v>
                </c:pt>
                <c:pt idx="6">
                  <c:v>VII    ³</c:v>
                </c:pt>
                <c:pt idx="7">
                  <c:v>VIII   ³</c:v>
                </c:pt>
                <c:pt idx="8">
                  <c:v>IX    ³</c:v>
                </c:pt>
                <c:pt idx="9">
                  <c:v>X     ³</c:v>
                </c:pt>
              </c:strCache>
            </c:strRef>
          </c:cat>
          <c:val>
            <c:numRef>
              <c:f>HOSP!$C$14:$L$14</c:f>
              <c:numCache>
                <c:formatCode>#,##0</c:formatCode>
                <c:ptCount val="10"/>
                <c:pt idx="0">
                  <c:v>44710</c:v>
                </c:pt>
                <c:pt idx="1">
                  <c:v>46297</c:v>
                </c:pt>
                <c:pt idx="2">
                  <c:v>44648</c:v>
                </c:pt>
                <c:pt idx="3">
                  <c:v>40500</c:v>
                </c:pt>
                <c:pt idx="4">
                  <c:v>38952</c:v>
                </c:pt>
                <c:pt idx="5">
                  <c:v>38403</c:v>
                </c:pt>
                <c:pt idx="6">
                  <c:v>33117</c:v>
                </c:pt>
                <c:pt idx="7">
                  <c:v>29527</c:v>
                </c:pt>
                <c:pt idx="8">
                  <c:v>20663</c:v>
                </c:pt>
                <c:pt idx="9">
                  <c:v>13808</c:v>
                </c:pt>
              </c:numCache>
            </c:numRef>
          </c:val>
        </c:ser>
        <c:ser>
          <c:idx val="1"/>
          <c:order val="1"/>
          <c:tx>
            <c:strRef>
              <c:f>HOSP!$A$15</c:f>
              <c:strCache>
                <c:ptCount val="1"/>
                <c:pt idx="0">
                  <c:v>I S S S</c:v>
                </c:pt>
              </c:strCache>
            </c:strRef>
          </c:tx>
          <c:spPr>
            <a:solidFill>
              <a:srgbClr val="993366"/>
            </a:solidFill>
            <a:ln w="8707">
              <a:solidFill>
                <a:srgbClr val="000000"/>
              </a:solidFill>
              <a:prstDash val="solid"/>
            </a:ln>
          </c:spPr>
          <c:cat>
            <c:strRef>
              <c:f>HOSP!$C$11:$L$11</c:f>
              <c:strCache>
                <c:ptCount val="10"/>
                <c:pt idx="0">
                  <c:v>I    ³</c:v>
                </c:pt>
                <c:pt idx="1">
                  <c:v>II    ³</c:v>
                </c:pt>
                <c:pt idx="2">
                  <c:v>III    ³</c:v>
                </c:pt>
                <c:pt idx="3">
                  <c:v>IV    ³</c:v>
                </c:pt>
                <c:pt idx="4">
                  <c:v>V     ³</c:v>
                </c:pt>
                <c:pt idx="5">
                  <c:v>VI    ³</c:v>
                </c:pt>
                <c:pt idx="6">
                  <c:v>VII    ³</c:v>
                </c:pt>
                <c:pt idx="7">
                  <c:v>VIII   ³</c:v>
                </c:pt>
                <c:pt idx="8">
                  <c:v>IX    ³</c:v>
                </c:pt>
                <c:pt idx="9">
                  <c:v>X     ³</c:v>
                </c:pt>
              </c:strCache>
            </c:strRef>
          </c:cat>
          <c:val>
            <c:numRef>
              <c:f>HOSP!$C$15:$L$15</c:f>
              <c:numCache>
                <c:formatCode>General</c:formatCode>
                <c:ptCount val="10"/>
                <c:pt idx="0">
                  <c:v>335</c:v>
                </c:pt>
                <c:pt idx="1">
                  <c:v>786</c:v>
                </c:pt>
                <c:pt idx="2" formatCode="#,##0">
                  <c:v>1354</c:v>
                </c:pt>
                <c:pt idx="3" formatCode="#,##0">
                  <c:v>2771</c:v>
                </c:pt>
                <c:pt idx="4" formatCode="#,##0">
                  <c:v>5541</c:v>
                </c:pt>
                <c:pt idx="5" formatCode="#,##0">
                  <c:v>5328</c:v>
                </c:pt>
                <c:pt idx="6" formatCode="#,##0">
                  <c:v>8100</c:v>
                </c:pt>
                <c:pt idx="7" formatCode="#,##0">
                  <c:v>10058</c:v>
                </c:pt>
                <c:pt idx="8" formatCode="#,##0">
                  <c:v>9457</c:v>
                </c:pt>
                <c:pt idx="9" formatCode="#,##0">
                  <c:v>14147</c:v>
                </c:pt>
              </c:numCache>
            </c:numRef>
          </c:val>
        </c:ser>
        <c:ser>
          <c:idx val="2"/>
          <c:order val="2"/>
          <c:tx>
            <c:strRef>
              <c:f>HOSP!$A$16</c:f>
              <c:strCache>
                <c:ptCount val="1"/>
                <c:pt idx="0">
                  <c:v>PRIVADO</c:v>
                </c:pt>
              </c:strCache>
            </c:strRef>
          </c:tx>
          <c:spPr>
            <a:solidFill>
              <a:srgbClr val="FFFFCC"/>
            </a:solidFill>
            <a:ln w="8707">
              <a:solidFill>
                <a:srgbClr val="000000"/>
              </a:solidFill>
              <a:prstDash val="solid"/>
            </a:ln>
          </c:spPr>
          <c:cat>
            <c:strRef>
              <c:f>HOSP!$C$11:$L$11</c:f>
              <c:strCache>
                <c:ptCount val="10"/>
                <c:pt idx="0">
                  <c:v>I    ³</c:v>
                </c:pt>
                <c:pt idx="1">
                  <c:v>II    ³</c:v>
                </c:pt>
                <c:pt idx="2">
                  <c:v>III    ³</c:v>
                </c:pt>
                <c:pt idx="3">
                  <c:v>IV    ³</c:v>
                </c:pt>
                <c:pt idx="4">
                  <c:v>V     ³</c:v>
                </c:pt>
                <c:pt idx="5">
                  <c:v>VI    ³</c:v>
                </c:pt>
                <c:pt idx="6">
                  <c:v>VII    ³</c:v>
                </c:pt>
                <c:pt idx="7">
                  <c:v>VIII   ³</c:v>
                </c:pt>
                <c:pt idx="8">
                  <c:v>IX    ³</c:v>
                </c:pt>
                <c:pt idx="9">
                  <c:v>X     ³</c:v>
                </c:pt>
              </c:strCache>
            </c:strRef>
          </c:cat>
          <c:val>
            <c:numRef>
              <c:f>HOSP!$C$16:$L$16</c:f>
              <c:numCache>
                <c:formatCode>#,##0</c:formatCode>
                <c:ptCount val="10"/>
                <c:pt idx="0">
                  <c:v>4245</c:v>
                </c:pt>
                <c:pt idx="1">
                  <c:v>3814</c:v>
                </c:pt>
                <c:pt idx="2">
                  <c:v>5533</c:v>
                </c:pt>
                <c:pt idx="3">
                  <c:v>5935</c:v>
                </c:pt>
                <c:pt idx="4">
                  <c:v>7064</c:v>
                </c:pt>
                <c:pt idx="5">
                  <c:v>7287</c:v>
                </c:pt>
                <c:pt idx="6">
                  <c:v>9329</c:v>
                </c:pt>
                <c:pt idx="7">
                  <c:v>10558</c:v>
                </c:pt>
                <c:pt idx="8">
                  <c:v>19589</c:v>
                </c:pt>
                <c:pt idx="9">
                  <c:v>22467</c:v>
                </c:pt>
              </c:numCache>
            </c:numRef>
          </c:val>
        </c:ser>
        <c:ser>
          <c:idx val="3"/>
          <c:order val="3"/>
          <c:tx>
            <c:strRef>
              <c:f>HOSP!$A$17</c:f>
              <c:strCache>
                <c:ptCount val="1"/>
                <c:pt idx="0">
                  <c:v>OTROS</c:v>
                </c:pt>
              </c:strCache>
            </c:strRef>
          </c:tx>
          <c:spPr>
            <a:solidFill>
              <a:srgbClr val="CCFFFF"/>
            </a:solidFill>
            <a:ln w="8707">
              <a:solidFill>
                <a:srgbClr val="000000"/>
              </a:solidFill>
              <a:prstDash val="solid"/>
            </a:ln>
          </c:spPr>
          <c:cat>
            <c:strRef>
              <c:f>HOSP!$C$11:$L$11</c:f>
              <c:strCache>
                <c:ptCount val="10"/>
                <c:pt idx="0">
                  <c:v>I    ³</c:v>
                </c:pt>
                <c:pt idx="1">
                  <c:v>II    ³</c:v>
                </c:pt>
                <c:pt idx="2">
                  <c:v>III    ³</c:v>
                </c:pt>
                <c:pt idx="3">
                  <c:v>IV    ³</c:v>
                </c:pt>
                <c:pt idx="4">
                  <c:v>V     ³</c:v>
                </c:pt>
                <c:pt idx="5">
                  <c:v>VI    ³</c:v>
                </c:pt>
                <c:pt idx="6">
                  <c:v>VII    ³</c:v>
                </c:pt>
                <c:pt idx="7">
                  <c:v>VIII   ³</c:v>
                </c:pt>
                <c:pt idx="8">
                  <c:v>IX    ³</c:v>
                </c:pt>
                <c:pt idx="9">
                  <c:v>X     ³</c:v>
                </c:pt>
              </c:strCache>
            </c:strRef>
          </c:cat>
          <c:val>
            <c:numRef>
              <c:f>HOSP!$C$17:$L$17</c:f>
              <c:numCache>
                <c:formatCode>#,##0</c:formatCode>
                <c:ptCount val="10"/>
                <c:pt idx="0">
                  <c:v>3878</c:v>
                </c:pt>
                <c:pt idx="1">
                  <c:v>2271</c:v>
                </c:pt>
                <c:pt idx="2">
                  <c:v>1633</c:v>
                </c:pt>
                <c:pt idx="3">
                  <c:v>3962</c:v>
                </c:pt>
                <c:pt idx="4">
                  <c:v>1611</c:v>
                </c:pt>
                <c:pt idx="5">
                  <c:v>2150</c:v>
                </c:pt>
                <c:pt idx="6">
                  <c:v>2622</c:v>
                </c:pt>
                <c:pt idx="7">
                  <c:v>3025</c:v>
                </c:pt>
                <c:pt idx="8">
                  <c:v>3459</c:v>
                </c:pt>
                <c:pt idx="9">
                  <c:v>2748</c:v>
                </c:pt>
              </c:numCache>
            </c:numRef>
          </c:val>
        </c:ser>
        <c:axId val="209006976"/>
        <c:axId val="209008512"/>
      </c:barChart>
      <c:catAx>
        <c:axId val="209006976"/>
        <c:scaling>
          <c:orientation val="minMax"/>
        </c:scaling>
        <c:axPos val="b"/>
        <c:numFmt formatCode="General" sourceLinked="1"/>
        <c:tickLblPos val="nextTo"/>
        <c:spPr>
          <a:ln w="2177">
            <a:solidFill>
              <a:srgbClr val="000000"/>
            </a:solidFill>
            <a:prstDash val="solid"/>
          </a:ln>
        </c:spPr>
        <c:txPr>
          <a:bodyPr rot="0" vert="horz"/>
          <a:lstStyle/>
          <a:p>
            <a:pPr>
              <a:defRPr sz="668" b="0" i="0" u="none" strike="noStrike" baseline="0">
                <a:solidFill>
                  <a:srgbClr val="000000"/>
                </a:solidFill>
                <a:latin typeface="Arial"/>
                <a:ea typeface="Arial"/>
                <a:cs typeface="Arial"/>
              </a:defRPr>
            </a:pPr>
            <a:endParaRPr lang="es-ES"/>
          </a:p>
        </c:txPr>
        <c:crossAx val="209008512"/>
        <c:crosses val="autoZero"/>
        <c:auto val="1"/>
        <c:lblAlgn val="ctr"/>
        <c:lblOffset val="100"/>
        <c:tickLblSkip val="1"/>
        <c:tickMarkSkip val="1"/>
      </c:catAx>
      <c:valAx>
        <c:axId val="209008512"/>
        <c:scaling>
          <c:orientation val="minMax"/>
        </c:scaling>
        <c:axPos val="l"/>
        <c:majorGridlines>
          <c:spPr>
            <a:ln w="2177">
              <a:solidFill>
                <a:srgbClr val="000000"/>
              </a:solidFill>
              <a:prstDash val="solid"/>
            </a:ln>
          </c:spPr>
        </c:majorGridlines>
        <c:numFmt formatCode="#,##0" sourceLinked="1"/>
        <c:tickLblPos val="nextTo"/>
        <c:spPr>
          <a:ln w="2177">
            <a:solidFill>
              <a:srgbClr val="000000"/>
            </a:solidFill>
            <a:prstDash val="solid"/>
          </a:ln>
        </c:spPr>
        <c:txPr>
          <a:bodyPr rot="0" vert="horz"/>
          <a:lstStyle/>
          <a:p>
            <a:pPr>
              <a:defRPr sz="668" b="0" i="0" u="none" strike="noStrike" baseline="0">
                <a:solidFill>
                  <a:srgbClr val="000000"/>
                </a:solidFill>
                <a:latin typeface="Arial"/>
                <a:ea typeface="Arial"/>
                <a:cs typeface="Arial"/>
              </a:defRPr>
            </a:pPr>
            <a:endParaRPr lang="es-ES"/>
          </a:p>
        </c:txPr>
        <c:crossAx val="209006976"/>
        <c:crosses val="autoZero"/>
        <c:crossBetween val="between"/>
      </c:valAx>
      <c:spPr>
        <a:solidFill>
          <a:srgbClr val="C0C0C0"/>
        </a:solidFill>
        <a:ln w="8707">
          <a:solidFill>
            <a:srgbClr val="808080"/>
          </a:solidFill>
          <a:prstDash val="solid"/>
        </a:ln>
      </c:spPr>
    </c:plotArea>
    <c:legend>
      <c:legendPos val="b"/>
      <c:layout>
        <c:manualLayout>
          <c:xMode val="edge"/>
          <c:yMode val="edge"/>
          <c:x val="0.26141078838174292"/>
          <c:y val="0.89534883720930281"/>
          <c:w val="0.5829875518672194"/>
          <c:h val="9.3023255813953501E-2"/>
        </c:manualLayout>
      </c:layout>
      <c:spPr>
        <a:solidFill>
          <a:srgbClr val="FFFFFF"/>
        </a:solidFill>
        <a:ln w="2177">
          <a:solidFill>
            <a:srgbClr val="000000"/>
          </a:solidFill>
          <a:prstDash val="solid"/>
        </a:ln>
      </c:spPr>
      <c:txPr>
        <a:bodyPr/>
        <a:lstStyle/>
        <a:p>
          <a:pPr>
            <a:defRPr sz="614"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a:noFill/>
    </a:ln>
  </c:spPr>
  <c:txPr>
    <a:bodyPr/>
    <a:lstStyle/>
    <a:p>
      <a:pPr>
        <a:defRPr sz="668" b="0" i="0" u="none" strike="noStrike" baseline="0">
          <a:solidFill>
            <a:srgbClr val="000000"/>
          </a:solidFill>
          <a:latin typeface="Arial"/>
          <a:ea typeface="Arial"/>
          <a:cs typeface="Arial"/>
        </a:defRPr>
      </a:pPr>
      <a:endParaRPr lang="es-E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4696485623003194"/>
          <c:y val="8.1272084805653663E-2"/>
          <c:w val="0.73482428115015974"/>
          <c:h val="0.67137809187279163"/>
        </c:manualLayout>
      </c:layout>
      <c:barChart>
        <c:barDir val="col"/>
        <c:grouping val="clustered"/>
        <c:ser>
          <c:idx val="0"/>
          <c:order val="0"/>
          <c:tx>
            <c:v>Urb</c:v>
          </c:tx>
          <c:spPr>
            <a:solidFill>
              <a:srgbClr val="9999FF"/>
            </a:solidFill>
            <a:ln w="9773">
              <a:solidFill>
                <a:srgbClr val="000000"/>
              </a:solidFill>
              <a:prstDash val="solid"/>
            </a:ln>
          </c:spPr>
          <c:cat>
            <c:strRef>
              <c:f>AREA!$C$11:$L$11</c:f>
              <c:strCache>
                <c:ptCount val="10"/>
                <c:pt idx="0">
                  <c:v>I    ³</c:v>
                </c:pt>
                <c:pt idx="1">
                  <c:v>II    ³</c:v>
                </c:pt>
                <c:pt idx="2">
                  <c:v>III    ³</c:v>
                </c:pt>
                <c:pt idx="3">
                  <c:v>IV    ³</c:v>
                </c:pt>
                <c:pt idx="4">
                  <c:v>V     ³</c:v>
                </c:pt>
                <c:pt idx="5">
                  <c:v>VI    ³</c:v>
                </c:pt>
                <c:pt idx="6">
                  <c:v>VII    ³</c:v>
                </c:pt>
                <c:pt idx="7">
                  <c:v>VIII   ³</c:v>
                </c:pt>
                <c:pt idx="8">
                  <c:v>IX    ³</c:v>
                </c:pt>
                <c:pt idx="9">
                  <c:v>X     ³</c:v>
                </c:pt>
              </c:strCache>
            </c:strRef>
          </c:cat>
          <c:val>
            <c:numRef>
              <c:f>AREA!$C$15:$L$15</c:f>
              <c:numCache>
                <c:formatCode>#,##0</c:formatCode>
                <c:ptCount val="10"/>
                <c:pt idx="0">
                  <c:v>11805</c:v>
                </c:pt>
                <c:pt idx="1">
                  <c:v>16539</c:v>
                </c:pt>
                <c:pt idx="2">
                  <c:v>24822</c:v>
                </c:pt>
                <c:pt idx="3">
                  <c:v>23092</c:v>
                </c:pt>
                <c:pt idx="4">
                  <c:v>21711</c:v>
                </c:pt>
                <c:pt idx="5">
                  <c:v>26631</c:v>
                </c:pt>
                <c:pt idx="6">
                  <c:v>29259</c:v>
                </c:pt>
                <c:pt idx="7">
                  <c:v>26759</c:v>
                </c:pt>
                <c:pt idx="8">
                  <c:v>34182</c:v>
                </c:pt>
                <c:pt idx="9">
                  <c:v>32055</c:v>
                </c:pt>
              </c:numCache>
            </c:numRef>
          </c:val>
        </c:ser>
        <c:ser>
          <c:idx val="1"/>
          <c:order val="1"/>
          <c:tx>
            <c:v>Rur</c:v>
          </c:tx>
          <c:spPr>
            <a:solidFill>
              <a:srgbClr val="993366"/>
            </a:solidFill>
            <a:ln w="9773">
              <a:solidFill>
                <a:srgbClr val="000000"/>
              </a:solidFill>
              <a:prstDash val="solid"/>
            </a:ln>
          </c:spPr>
          <c:cat>
            <c:strRef>
              <c:f>AREA!$C$11:$L$11</c:f>
              <c:strCache>
                <c:ptCount val="10"/>
                <c:pt idx="0">
                  <c:v>I    ³</c:v>
                </c:pt>
                <c:pt idx="1">
                  <c:v>II    ³</c:v>
                </c:pt>
                <c:pt idx="2">
                  <c:v>III    ³</c:v>
                </c:pt>
                <c:pt idx="3">
                  <c:v>IV    ³</c:v>
                </c:pt>
                <c:pt idx="4">
                  <c:v>V     ³</c:v>
                </c:pt>
                <c:pt idx="5">
                  <c:v>VI    ³</c:v>
                </c:pt>
                <c:pt idx="6">
                  <c:v>VII    ³</c:v>
                </c:pt>
                <c:pt idx="7">
                  <c:v>VIII   ³</c:v>
                </c:pt>
                <c:pt idx="8">
                  <c:v>IX    ³</c:v>
                </c:pt>
                <c:pt idx="9">
                  <c:v>X     ³</c:v>
                </c:pt>
              </c:strCache>
            </c:strRef>
          </c:cat>
          <c:val>
            <c:numRef>
              <c:f>AREA!$C$16:$L$16</c:f>
              <c:numCache>
                <c:formatCode>#,##0</c:formatCode>
                <c:ptCount val="10"/>
                <c:pt idx="0">
                  <c:v>38069</c:v>
                </c:pt>
                <c:pt idx="1">
                  <c:v>31315</c:v>
                </c:pt>
                <c:pt idx="2">
                  <c:v>26218</c:v>
                </c:pt>
                <c:pt idx="3">
                  <c:v>25005</c:v>
                </c:pt>
                <c:pt idx="4">
                  <c:v>23030</c:v>
                </c:pt>
                <c:pt idx="5">
                  <c:v>14914</c:v>
                </c:pt>
                <c:pt idx="6">
                  <c:v>14207</c:v>
                </c:pt>
                <c:pt idx="7">
                  <c:v>10248</c:v>
                </c:pt>
                <c:pt idx="8">
                  <c:v>9375</c:v>
                </c:pt>
                <c:pt idx="9">
                  <c:v>2955</c:v>
                </c:pt>
              </c:numCache>
            </c:numRef>
          </c:val>
        </c:ser>
        <c:axId val="208973184"/>
        <c:axId val="209057280"/>
      </c:barChart>
      <c:lineChart>
        <c:grouping val="standard"/>
        <c:ser>
          <c:idx val="2"/>
          <c:order val="2"/>
          <c:tx>
            <c:v>Coef</c:v>
          </c:tx>
          <c:spPr>
            <a:ln w="9773">
              <a:solidFill>
                <a:srgbClr val="FFFF00"/>
              </a:solidFill>
              <a:prstDash val="solid"/>
            </a:ln>
          </c:spPr>
          <c:marker>
            <c:symbol val="triangle"/>
            <c:size val="3"/>
            <c:spPr>
              <a:solidFill>
                <a:srgbClr val="FFFF00"/>
              </a:solidFill>
              <a:ln>
                <a:solidFill>
                  <a:srgbClr val="FFFF00"/>
                </a:solidFill>
                <a:prstDash val="solid"/>
              </a:ln>
            </c:spPr>
          </c:marker>
          <c:val>
            <c:numRef>
              <c:f>AREA!$C$19:$L$19</c:f>
              <c:numCache>
                <c:formatCode>0.00</c:formatCode>
                <c:ptCount val="10"/>
                <c:pt idx="0">
                  <c:v>3.2248199915290132</c:v>
                </c:pt>
                <c:pt idx="1">
                  <c:v>1.8934034705846783</c:v>
                </c:pt>
                <c:pt idx="2">
                  <c:v>1.0562404318749501</c:v>
                </c:pt>
                <c:pt idx="3">
                  <c:v>1.0828425428719903</c:v>
                </c:pt>
                <c:pt idx="4">
                  <c:v>1.0607526138823637</c:v>
                </c:pt>
                <c:pt idx="5">
                  <c:v>0.56002403214299146</c:v>
                </c:pt>
                <c:pt idx="6">
                  <c:v>0.48555999863289939</c:v>
                </c:pt>
                <c:pt idx="7">
                  <c:v>0.38297395268881507</c:v>
                </c:pt>
                <c:pt idx="8">
                  <c:v>0.27426715815341396</c:v>
                </c:pt>
                <c:pt idx="9">
                  <c:v>9.2185306504445508E-2</c:v>
                </c:pt>
              </c:numCache>
            </c:numRef>
          </c:val>
        </c:ser>
        <c:marker val="1"/>
        <c:axId val="209059200"/>
        <c:axId val="209392768"/>
      </c:lineChart>
      <c:catAx>
        <c:axId val="208973184"/>
        <c:scaling>
          <c:orientation val="minMax"/>
        </c:scaling>
        <c:axPos val="b"/>
        <c:numFmt formatCode="General" sourceLinked="1"/>
        <c:tickLblPos val="nextTo"/>
        <c:spPr>
          <a:ln w="2443">
            <a:solidFill>
              <a:srgbClr val="000000"/>
            </a:solidFill>
            <a:prstDash val="solid"/>
          </a:ln>
        </c:spPr>
        <c:txPr>
          <a:bodyPr rot="0" vert="horz"/>
          <a:lstStyle/>
          <a:p>
            <a:pPr>
              <a:defRPr sz="808" b="0" i="0" u="none" strike="noStrike" baseline="0">
                <a:solidFill>
                  <a:srgbClr val="000000"/>
                </a:solidFill>
                <a:latin typeface="Arial"/>
                <a:ea typeface="Arial"/>
                <a:cs typeface="Arial"/>
              </a:defRPr>
            </a:pPr>
            <a:endParaRPr lang="es-ES"/>
          </a:p>
        </c:txPr>
        <c:crossAx val="209057280"/>
        <c:crosses val="autoZero"/>
        <c:auto val="1"/>
        <c:lblAlgn val="ctr"/>
        <c:lblOffset val="100"/>
        <c:tickLblSkip val="1"/>
        <c:tickMarkSkip val="1"/>
      </c:catAx>
      <c:valAx>
        <c:axId val="209057280"/>
        <c:scaling>
          <c:orientation val="minMax"/>
        </c:scaling>
        <c:axPos val="l"/>
        <c:majorGridlines>
          <c:spPr>
            <a:ln w="2443">
              <a:solidFill>
                <a:srgbClr val="000000"/>
              </a:solidFill>
              <a:prstDash val="solid"/>
            </a:ln>
          </c:spPr>
        </c:majorGridlines>
        <c:title>
          <c:tx>
            <c:rich>
              <a:bodyPr/>
              <a:lstStyle/>
              <a:p>
                <a:pPr>
                  <a:defRPr sz="808" b="1" i="0" u="none" strike="noStrike" baseline="0">
                    <a:solidFill>
                      <a:srgbClr val="000000"/>
                    </a:solidFill>
                    <a:latin typeface="Arial"/>
                    <a:ea typeface="Arial"/>
                    <a:cs typeface="Arial"/>
                  </a:defRPr>
                </a:pPr>
                <a:r>
                  <a:t>Familias</a:t>
                </a:r>
              </a:p>
            </c:rich>
          </c:tx>
          <c:layout>
            <c:manualLayout>
              <c:xMode val="edge"/>
              <c:yMode val="edge"/>
              <c:x val="1.7571884984025562E-2"/>
              <c:y val="0.307420494699647"/>
            </c:manualLayout>
          </c:layout>
          <c:spPr>
            <a:noFill/>
            <a:ln w="19546">
              <a:noFill/>
            </a:ln>
          </c:spPr>
        </c:title>
        <c:numFmt formatCode="#,##0" sourceLinked="1"/>
        <c:tickLblPos val="nextTo"/>
        <c:spPr>
          <a:ln w="2443">
            <a:solidFill>
              <a:srgbClr val="000000"/>
            </a:solidFill>
            <a:prstDash val="solid"/>
          </a:ln>
        </c:spPr>
        <c:txPr>
          <a:bodyPr rot="0" vert="horz"/>
          <a:lstStyle/>
          <a:p>
            <a:pPr>
              <a:defRPr sz="808" b="0" i="0" u="none" strike="noStrike" baseline="0">
                <a:solidFill>
                  <a:srgbClr val="000000"/>
                </a:solidFill>
                <a:latin typeface="Arial"/>
                <a:ea typeface="Arial"/>
                <a:cs typeface="Arial"/>
              </a:defRPr>
            </a:pPr>
            <a:endParaRPr lang="es-ES"/>
          </a:p>
        </c:txPr>
        <c:crossAx val="208973184"/>
        <c:crosses val="autoZero"/>
        <c:crossBetween val="between"/>
      </c:valAx>
      <c:catAx>
        <c:axId val="209059200"/>
        <c:scaling>
          <c:orientation val="minMax"/>
        </c:scaling>
        <c:delete val="1"/>
        <c:axPos val="b"/>
        <c:tickLblPos val="none"/>
        <c:crossAx val="209392768"/>
        <c:crosses val="autoZero"/>
        <c:auto val="1"/>
        <c:lblAlgn val="ctr"/>
        <c:lblOffset val="100"/>
      </c:catAx>
      <c:valAx>
        <c:axId val="209392768"/>
        <c:scaling>
          <c:orientation val="minMax"/>
        </c:scaling>
        <c:axPos val="r"/>
        <c:title>
          <c:tx>
            <c:rich>
              <a:bodyPr/>
              <a:lstStyle/>
              <a:p>
                <a:pPr>
                  <a:defRPr sz="808" b="1" i="0" u="none" strike="noStrike" baseline="0">
                    <a:solidFill>
                      <a:srgbClr val="000000"/>
                    </a:solidFill>
                    <a:latin typeface="Arial"/>
                    <a:ea typeface="Arial"/>
                    <a:cs typeface="Arial"/>
                  </a:defRPr>
                </a:pPr>
                <a:r>
                  <a:t>Coef</a:t>
                </a:r>
              </a:p>
            </c:rich>
          </c:tx>
          <c:layout>
            <c:manualLayout>
              <c:xMode val="edge"/>
              <c:yMode val="edge"/>
              <c:x val="0.94408945686900991"/>
              <c:y val="0.34982332155477042"/>
            </c:manualLayout>
          </c:layout>
          <c:spPr>
            <a:noFill/>
            <a:ln w="19546">
              <a:noFill/>
            </a:ln>
          </c:spPr>
        </c:title>
        <c:numFmt formatCode="0.00" sourceLinked="1"/>
        <c:majorTickMark val="cross"/>
        <c:tickLblPos val="nextTo"/>
        <c:spPr>
          <a:ln w="2443">
            <a:solidFill>
              <a:srgbClr val="000000"/>
            </a:solidFill>
            <a:prstDash val="solid"/>
          </a:ln>
        </c:spPr>
        <c:txPr>
          <a:bodyPr rot="0" vert="horz"/>
          <a:lstStyle/>
          <a:p>
            <a:pPr>
              <a:defRPr sz="808" b="0" i="0" u="none" strike="noStrike" baseline="0">
                <a:solidFill>
                  <a:srgbClr val="000000"/>
                </a:solidFill>
                <a:latin typeface="Arial"/>
                <a:ea typeface="Arial"/>
                <a:cs typeface="Arial"/>
              </a:defRPr>
            </a:pPr>
            <a:endParaRPr lang="es-ES"/>
          </a:p>
        </c:txPr>
        <c:crossAx val="209059200"/>
        <c:crosses val="max"/>
        <c:crossBetween val="between"/>
      </c:valAx>
      <c:spPr>
        <a:solidFill>
          <a:srgbClr val="C0C0C0"/>
        </a:solidFill>
        <a:ln w="9773">
          <a:solidFill>
            <a:srgbClr val="808080"/>
          </a:solidFill>
          <a:prstDash val="solid"/>
        </a:ln>
      </c:spPr>
    </c:plotArea>
    <c:legend>
      <c:legendPos val="b"/>
      <c:layout>
        <c:manualLayout>
          <c:xMode val="edge"/>
          <c:yMode val="edge"/>
          <c:x val="0.35942492012779576"/>
          <c:y val="0.90106007067137805"/>
          <c:w val="0.30511182108626211"/>
          <c:h val="8.8339222614841006E-2"/>
        </c:manualLayout>
      </c:layout>
      <c:spPr>
        <a:solidFill>
          <a:srgbClr val="FFFFFF"/>
        </a:solidFill>
        <a:ln w="2443">
          <a:solidFill>
            <a:srgbClr val="000000"/>
          </a:solidFill>
          <a:prstDash val="solid"/>
        </a:ln>
      </c:spPr>
      <c:txPr>
        <a:bodyPr/>
        <a:lstStyle/>
        <a:p>
          <a:pPr>
            <a:defRPr sz="743"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a:noFill/>
    </a:ln>
  </c:spPr>
  <c:txPr>
    <a:bodyPr/>
    <a:lstStyle/>
    <a:p>
      <a:pPr>
        <a:defRPr sz="808" b="0" i="0" u="none" strike="noStrike" baseline="0">
          <a:solidFill>
            <a:srgbClr val="000000"/>
          </a:solidFill>
          <a:latin typeface="Arial"/>
          <a:ea typeface="Arial"/>
          <a:cs typeface="Arial"/>
        </a:defRPr>
      </a:pPr>
      <a:endParaRPr lang="es-E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1093247588424437"/>
          <c:y val="7.4675324675324672E-2"/>
          <c:w val="0.87459807073955009"/>
          <c:h val="0.69805194805194781"/>
        </c:manualLayout>
      </c:layout>
      <c:barChart>
        <c:barDir val="col"/>
        <c:grouping val="clustered"/>
        <c:ser>
          <c:idx val="0"/>
          <c:order val="0"/>
          <c:tx>
            <c:strRef>
              <c:f>BACK01!$A$16</c:f>
              <c:strCache>
                <c:ptCount val="1"/>
                <c:pt idx="0">
                  <c:v>MEDICAMENTOS               </c:v>
                </c:pt>
              </c:strCache>
            </c:strRef>
          </c:tx>
          <c:spPr>
            <a:solidFill>
              <a:srgbClr val="9999FF"/>
            </a:solidFill>
            <a:ln w="9971">
              <a:solidFill>
                <a:srgbClr val="000000"/>
              </a:solidFill>
              <a:prstDash val="solid"/>
            </a:ln>
          </c:spPr>
          <c:cat>
            <c:strRef>
              <c:f>BACK01!$C$11:$L$11</c:f>
              <c:strCache>
                <c:ptCount val="10"/>
                <c:pt idx="0">
                  <c:v>I      ³</c:v>
                </c:pt>
                <c:pt idx="1">
                  <c:v>II     ³</c:v>
                </c:pt>
                <c:pt idx="2">
                  <c:v>III     ³</c:v>
                </c:pt>
                <c:pt idx="3">
                  <c:v>IV     ³</c:v>
                </c:pt>
                <c:pt idx="4">
                  <c:v>V      ³</c:v>
                </c:pt>
                <c:pt idx="5">
                  <c:v>VI     ³</c:v>
                </c:pt>
                <c:pt idx="6">
                  <c:v>VII     ³</c:v>
                </c:pt>
                <c:pt idx="7">
                  <c:v>VIII    ³</c:v>
                </c:pt>
                <c:pt idx="8">
                  <c:v>IX     ³</c:v>
                </c:pt>
                <c:pt idx="9">
                  <c:v>X      ³</c:v>
                </c:pt>
              </c:strCache>
            </c:strRef>
          </c:cat>
          <c:val>
            <c:numRef>
              <c:f>BACK01!$C$16:$L$16</c:f>
              <c:numCache>
                <c:formatCode>#,##0</c:formatCode>
                <c:ptCount val="10"/>
                <c:pt idx="0">
                  <c:v>37953</c:v>
                </c:pt>
                <c:pt idx="1">
                  <c:v>36067</c:v>
                </c:pt>
                <c:pt idx="2">
                  <c:v>38895</c:v>
                </c:pt>
                <c:pt idx="3">
                  <c:v>35745</c:v>
                </c:pt>
                <c:pt idx="4">
                  <c:v>36513</c:v>
                </c:pt>
                <c:pt idx="5">
                  <c:v>34939</c:v>
                </c:pt>
                <c:pt idx="6">
                  <c:v>34809</c:v>
                </c:pt>
                <c:pt idx="7">
                  <c:v>30539</c:v>
                </c:pt>
                <c:pt idx="8">
                  <c:v>38367</c:v>
                </c:pt>
                <c:pt idx="9">
                  <c:v>31864</c:v>
                </c:pt>
              </c:numCache>
            </c:numRef>
          </c:val>
        </c:ser>
        <c:ser>
          <c:idx val="1"/>
          <c:order val="1"/>
          <c:tx>
            <c:strRef>
              <c:f>BACK01!$A$17</c:f>
              <c:strCache>
                <c:ptCount val="1"/>
                <c:pt idx="0">
                  <c:v>CONSULTA                   </c:v>
                </c:pt>
              </c:strCache>
            </c:strRef>
          </c:tx>
          <c:spPr>
            <a:solidFill>
              <a:srgbClr val="993366"/>
            </a:solidFill>
            <a:ln w="9971">
              <a:solidFill>
                <a:srgbClr val="000000"/>
              </a:solidFill>
              <a:prstDash val="solid"/>
            </a:ln>
          </c:spPr>
          <c:cat>
            <c:strRef>
              <c:f>BACK01!$C$11:$L$11</c:f>
              <c:strCache>
                <c:ptCount val="10"/>
                <c:pt idx="0">
                  <c:v>I      ³</c:v>
                </c:pt>
                <c:pt idx="1">
                  <c:v>II     ³</c:v>
                </c:pt>
                <c:pt idx="2">
                  <c:v>III     ³</c:v>
                </c:pt>
                <c:pt idx="3">
                  <c:v>IV     ³</c:v>
                </c:pt>
                <c:pt idx="4">
                  <c:v>V      ³</c:v>
                </c:pt>
                <c:pt idx="5">
                  <c:v>VI     ³</c:v>
                </c:pt>
                <c:pt idx="6">
                  <c:v>VII     ³</c:v>
                </c:pt>
                <c:pt idx="7">
                  <c:v>VIII    ³</c:v>
                </c:pt>
                <c:pt idx="8">
                  <c:v>IX     ³</c:v>
                </c:pt>
                <c:pt idx="9">
                  <c:v>X      ³</c:v>
                </c:pt>
              </c:strCache>
            </c:strRef>
          </c:cat>
          <c:val>
            <c:numRef>
              <c:f>BACK01!$C$17:$L$17</c:f>
              <c:numCache>
                <c:formatCode>#,##0</c:formatCode>
                <c:ptCount val="10"/>
                <c:pt idx="0">
                  <c:v>24908</c:v>
                </c:pt>
                <c:pt idx="1">
                  <c:v>26282</c:v>
                </c:pt>
                <c:pt idx="2">
                  <c:v>26653</c:v>
                </c:pt>
                <c:pt idx="3">
                  <c:v>28497</c:v>
                </c:pt>
                <c:pt idx="4">
                  <c:v>24594</c:v>
                </c:pt>
                <c:pt idx="5">
                  <c:v>25115</c:v>
                </c:pt>
                <c:pt idx="6">
                  <c:v>26423</c:v>
                </c:pt>
                <c:pt idx="7">
                  <c:v>23011</c:v>
                </c:pt>
                <c:pt idx="8">
                  <c:v>26427</c:v>
                </c:pt>
                <c:pt idx="9">
                  <c:v>21685</c:v>
                </c:pt>
              </c:numCache>
            </c:numRef>
          </c:val>
        </c:ser>
        <c:ser>
          <c:idx val="2"/>
          <c:order val="2"/>
          <c:tx>
            <c:strRef>
              <c:f>BACK01!$A$18</c:f>
              <c:strCache>
                <c:ptCount val="1"/>
                <c:pt idx="0">
                  <c:v>EXAMENES DE LAB.            </c:v>
                </c:pt>
              </c:strCache>
            </c:strRef>
          </c:tx>
          <c:spPr>
            <a:solidFill>
              <a:srgbClr val="FFFFCC"/>
            </a:solidFill>
            <a:ln w="9971">
              <a:solidFill>
                <a:srgbClr val="000000"/>
              </a:solidFill>
              <a:prstDash val="solid"/>
            </a:ln>
          </c:spPr>
          <c:cat>
            <c:strRef>
              <c:f>BACK01!$C$11:$L$11</c:f>
              <c:strCache>
                <c:ptCount val="10"/>
                <c:pt idx="0">
                  <c:v>I      ³</c:v>
                </c:pt>
                <c:pt idx="1">
                  <c:v>II     ³</c:v>
                </c:pt>
                <c:pt idx="2">
                  <c:v>III     ³</c:v>
                </c:pt>
                <c:pt idx="3">
                  <c:v>IV     ³</c:v>
                </c:pt>
                <c:pt idx="4">
                  <c:v>V      ³</c:v>
                </c:pt>
                <c:pt idx="5">
                  <c:v>VI     ³</c:v>
                </c:pt>
                <c:pt idx="6">
                  <c:v>VII     ³</c:v>
                </c:pt>
                <c:pt idx="7">
                  <c:v>VIII    ³</c:v>
                </c:pt>
                <c:pt idx="8">
                  <c:v>IX     ³</c:v>
                </c:pt>
                <c:pt idx="9">
                  <c:v>X      ³</c:v>
                </c:pt>
              </c:strCache>
            </c:strRef>
          </c:cat>
          <c:val>
            <c:numRef>
              <c:f>BACK01!$C$18:$L$18</c:f>
              <c:numCache>
                <c:formatCode>#,##0</c:formatCode>
                <c:ptCount val="10"/>
                <c:pt idx="0">
                  <c:v>4163</c:v>
                </c:pt>
                <c:pt idx="1">
                  <c:v>3036</c:v>
                </c:pt>
                <c:pt idx="2">
                  <c:v>3297</c:v>
                </c:pt>
                <c:pt idx="3">
                  <c:v>3310</c:v>
                </c:pt>
                <c:pt idx="4">
                  <c:v>3857</c:v>
                </c:pt>
                <c:pt idx="5">
                  <c:v>5102</c:v>
                </c:pt>
                <c:pt idx="6">
                  <c:v>5348</c:v>
                </c:pt>
                <c:pt idx="7">
                  <c:v>3778</c:v>
                </c:pt>
                <c:pt idx="8">
                  <c:v>6241</c:v>
                </c:pt>
                <c:pt idx="9">
                  <c:v>6806</c:v>
                </c:pt>
              </c:numCache>
            </c:numRef>
          </c:val>
        </c:ser>
        <c:ser>
          <c:idx val="3"/>
          <c:order val="3"/>
          <c:tx>
            <c:strRef>
              <c:f>BACK01!$A$19</c:f>
              <c:strCache>
                <c:ptCount val="1"/>
                <c:pt idx="0">
                  <c:v>HOSPITALIZACION             </c:v>
                </c:pt>
              </c:strCache>
            </c:strRef>
          </c:tx>
          <c:spPr>
            <a:solidFill>
              <a:srgbClr val="CCFFFF"/>
            </a:solidFill>
            <a:ln w="9971">
              <a:solidFill>
                <a:srgbClr val="000000"/>
              </a:solidFill>
              <a:prstDash val="solid"/>
            </a:ln>
          </c:spPr>
          <c:cat>
            <c:strRef>
              <c:f>BACK01!$C$11:$L$11</c:f>
              <c:strCache>
                <c:ptCount val="10"/>
                <c:pt idx="0">
                  <c:v>I      ³</c:v>
                </c:pt>
                <c:pt idx="1">
                  <c:v>II     ³</c:v>
                </c:pt>
                <c:pt idx="2">
                  <c:v>III     ³</c:v>
                </c:pt>
                <c:pt idx="3">
                  <c:v>IV     ³</c:v>
                </c:pt>
                <c:pt idx="4">
                  <c:v>V      ³</c:v>
                </c:pt>
                <c:pt idx="5">
                  <c:v>VI     ³</c:v>
                </c:pt>
                <c:pt idx="6">
                  <c:v>VII     ³</c:v>
                </c:pt>
                <c:pt idx="7">
                  <c:v>VIII    ³</c:v>
                </c:pt>
                <c:pt idx="8">
                  <c:v>IX     ³</c:v>
                </c:pt>
                <c:pt idx="9">
                  <c:v>X      ³</c:v>
                </c:pt>
              </c:strCache>
            </c:strRef>
          </c:cat>
          <c:val>
            <c:numRef>
              <c:f>BACK01!$C$19:$L$19</c:f>
              <c:numCache>
                <c:formatCode>#,##0</c:formatCode>
                <c:ptCount val="10"/>
                <c:pt idx="0">
                  <c:v>1766</c:v>
                </c:pt>
                <c:pt idx="1">
                  <c:v>2515</c:v>
                </c:pt>
                <c:pt idx="2">
                  <c:v>1629</c:v>
                </c:pt>
                <c:pt idx="3">
                  <c:v>1483</c:v>
                </c:pt>
                <c:pt idx="4" formatCode="General">
                  <c:v>947</c:v>
                </c:pt>
                <c:pt idx="5">
                  <c:v>1091</c:v>
                </c:pt>
                <c:pt idx="6">
                  <c:v>1631</c:v>
                </c:pt>
                <c:pt idx="7">
                  <c:v>1053</c:v>
                </c:pt>
                <c:pt idx="8">
                  <c:v>1423</c:v>
                </c:pt>
                <c:pt idx="9">
                  <c:v>2415</c:v>
                </c:pt>
              </c:numCache>
            </c:numRef>
          </c:val>
        </c:ser>
        <c:axId val="209558528"/>
        <c:axId val="209564416"/>
      </c:barChart>
      <c:catAx>
        <c:axId val="209558528"/>
        <c:scaling>
          <c:orientation val="minMax"/>
        </c:scaling>
        <c:axPos val="b"/>
        <c:numFmt formatCode="General" sourceLinked="1"/>
        <c:tickLblPos val="nextTo"/>
        <c:spPr>
          <a:ln w="2493">
            <a:solidFill>
              <a:srgbClr val="000000"/>
            </a:solidFill>
            <a:prstDash val="solid"/>
          </a:ln>
        </c:spPr>
        <c:txPr>
          <a:bodyPr rot="0" vert="horz"/>
          <a:lstStyle/>
          <a:p>
            <a:pPr>
              <a:defRPr sz="903" b="0" i="0" u="none" strike="noStrike" baseline="0">
                <a:solidFill>
                  <a:srgbClr val="000000"/>
                </a:solidFill>
                <a:latin typeface="Arial"/>
                <a:ea typeface="Arial"/>
                <a:cs typeface="Arial"/>
              </a:defRPr>
            </a:pPr>
            <a:endParaRPr lang="es-ES"/>
          </a:p>
        </c:txPr>
        <c:crossAx val="209564416"/>
        <c:crosses val="autoZero"/>
        <c:auto val="1"/>
        <c:lblAlgn val="ctr"/>
        <c:lblOffset val="100"/>
        <c:tickLblSkip val="1"/>
        <c:tickMarkSkip val="1"/>
      </c:catAx>
      <c:valAx>
        <c:axId val="209564416"/>
        <c:scaling>
          <c:orientation val="minMax"/>
        </c:scaling>
        <c:axPos val="l"/>
        <c:majorGridlines>
          <c:spPr>
            <a:ln w="2493">
              <a:solidFill>
                <a:srgbClr val="000000"/>
              </a:solidFill>
              <a:prstDash val="solid"/>
            </a:ln>
          </c:spPr>
        </c:majorGridlines>
        <c:numFmt formatCode="#,##0" sourceLinked="1"/>
        <c:tickLblPos val="nextTo"/>
        <c:spPr>
          <a:ln w="2493">
            <a:solidFill>
              <a:srgbClr val="000000"/>
            </a:solidFill>
            <a:prstDash val="solid"/>
          </a:ln>
        </c:spPr>
        <c:txPr>
          <a:bodyPr rot="0" vert="horz"/>
          <a:lstStyle/>
          <a:p>
            <a:pPr>
              <a:defRPr sz="903" b="0" i="0" u="none" strike="noStrike" baseline="0">
                <a:solidFill>
                  <a:srgbClr val="000000"/>
                </a:solidFill>
                <a:latin typeface="Arial"/>
                <a:ea typeface="Arial"/>
                <a:cs typeface="Arial"/>
              </a:defRPr>
            </a:pPr>
            <a:endParaRPr lang="es-ES"/>
          </a:p>
        </c:txPr>
        <c:crossAx val="209558528"/>
        <c:crosses val="autoZero"/>
        <c:crossBetween val="between"/>
      </c:valAx>
      <c:spPr>
        <a:solidFill>
          <a:srgbClr val="C0C0C0"/>
        </a:solidFill>
        <a:ln w="9971">
          <a:solidFill>
            <a:srgbClr val="808080"/>
          </a:solidFill>
          <a:prstDash val="solid"/>
        </a:ln>
      </c:spPr>
    </c:plotArea>
    <c:legend>
      <c:legendPos val="b"/>
      <c:layout>
        <c:manualLayout>
          <c:xMode val="edge"/>
          <c:yMode val="edge"/>
          <c:x val="4.3408360128617374E-2"/>
          <c:y val="0.91883116883116855"/>
          <c:w val="0.91157556270096429"/>
          <c:h val="7.1428571428571425E-2"/>
        </c:manualLayout>
      </c:layout>
      <c:spPr>
        <a:solidFill>
          <a:srgbClr val="FFFFFF"/>
        </a:solidFill>
        <a:ln w="2493">
          <a:solidFill>
            <a:srgbClr val="000000"/>
          </a:solidFill>
          <a:prstDash val="solid"/>
        </a:ln>
      </c:spPr>
      <c:txPr>
        <a:bodyPr/>
        <a:lstStyle/>
        <a:p>
          <a:pPr>
            <a:defRPr sz="577"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a:noFill/>
    </a:ln>
  </c:spPr>
  <c:txPr>
    <a:bodyPr/>
    <a:lstStyle/>
    <a:p>
      <a:pPr>
        <a:defRPr sz="903" b="0" i="0" u="none" strike="noStrike" baseline="0">
          <a:solidFill>
            <a:srgbClr val="000000"/>
          </a:solidFill>
          <a:latin typeface="Arial"/>
          <a:ea typeface="Arial"/>
          <a:cs typeface="Arial"/>
        </a:defRPr>
      </a:pPr>
      <a:endParaRPr lang="es-E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6852146263910972"/>
          <c:y val="7.4074074074074084E-2"/>
          <c:w val="0.70906200317965029"/>
          <c:h val="0.6913580246913581"/>
        </c:manualLayout>
      </c:layout>
      <c:barChart>
        <c:barDir val="col"/>
        <c:grouping val="clustered"/>
        <c:ser>
          <c:idx val="0"/>
          <c:order val="0"/>
          <c:tx>
            <c:v>Femenino</c:v>
          </c:tx>
          <c:spPr>
            <a:solidFill>
              <a:srgbClr val="9999FF"/>
            </a:solidFill>
            <a:ln w="8771">
              <a:solidFill>
                <a:srgbClr val="000000"/>
              </a:solidFill>
              <a:prstDash val="solid"/>
            </a:ln>
          </c:spPr>
          <c:cat>
            <c:strRef>
              <c:f>'AGE1'!$C$11:$L$11</c:f>
              <c:strCache>
                <c:ptCount val="10"/>
                <c:pt idx="0">
                  <c:v>I    ³</c:v>
                </c:pt>
                <c:pt idx="1">
                  <c:v>II    ³</c:v>
                </c:pt>
                <c:pt idx="2">
                  <c:v>III    ³</c:v>
                </c:pt>
                <c:pt idx="3">
                  <c:v>IV    ³</c:v>
                </c:pt>
                <c:pt idx="4">
                  <c:v>V     ³</c:v>
                </c:pt>
                <c:pt idx="5">
                  <c:v>VI    ³</c:v>
                </c:pt>
                <c:pt idx="6">
                  <c:v>VII    ³</c:v>
                </c:pt>
                <c:pt idx="7">
                  <c:v>VIII   ³</c:v>
                </c:pt>
                <c:pt idx="8">
                  <c:v>IX    ³</c:v>
                </c:pt>
                <c:pt idx="9">
                  <c:v>X     ³</c:v>
                </c:pt>
              </c:strCache>
            </c:strRef>
          </c:cat>
          <c:val>
            <c:numRef>
              <c:f>'AGE1'!$C$21:$L$21</c:f>
              <c:numCache>
                <c:formatCode>#,##0</c:formatCode>
                <c:ptCount val="10"/>
                <c:pt idx="0">
                  <c:v>36784</c:v>
                </c:pt>
                <c:pt idx="1">
                  <c:v>36594</c:v>
                </c:pt>
                <c:pt idx="2">
                  <c:v>34805</c:v>
                </c:pt>
                <c:pt idx="3">
                  <c:v>33428</c:v>
                </c:pt>
                <c:pt idx="4">
                  <c:v>34456</c:v>
                </c:pt>
                <c:pt idx="5">
                  <c:v>32157</c:v>
                </c:pt>
                <c:pt idx="6">
                  <c:v>35353</c:v>
                </c:pt>
                <c:pt idx="7">
                  <c:v>34716</c:v>
                </c:pt>
                <c:pt idx="8">
                  <c:v>32984</c:v>
                </c:pt>
                <c:pt idx="9">
                  <c:v>31425</c:v>
                </c:pt>
              </c:numCache>
            </c:numRef>
          </c:val>
        </c:ser>
        <c:ser>
          <c:idx val="1"/>
          <c:order val="1"/>
          <c:tx>
            <c:v>Masculino</c:v>
          </c:tx>
          <c:spPr>
            <a:solidFill>
              <a:srgbClr val="993366"/>
            </a:solidFill>
            <a:ln w="8771">
              <a:solidFill>
                <a:srgbClr val="000000"/>
              </a:solidFill>
              <a:prstDash val="solid"/>
            </a:ln>
          </c:spPr>
          <c:val>
            <c:numRef>
              <c:f>'AGE1'!$C$29:$L$29</c:f>
              <c:numCache>
                <c:formatCode>#,##0</c:formatCode>
                <c:ptCount val="10"/>
                <c:pt idx="0">
                  <c:v>38988</c:v>
                </c:pt>
                <c:pt idx="1">
                  <c:v>39178</c:v>
                </c:pt>
                <c:pt idx="2">
                  <c:v>40967</c:v>
                </c:pt>
                <c:pt idx="3">
                  <c:v>42344</c:v>
                </c:pt>
                <c:pt idx="4">
                  <c:v>41316</c:v>
                </c:pt>
                <c:pt idx="5">
                  <c:v>43615</c:v>
                </c:pt>
                <c:pt idx="6">
                  <c:v>40419</c:v>
                </c:pt>
                <c:pt idx="7">
                  <c:v>41056</c:v>
                </c:pt>
                <c:pt idx="8">
                  <c:v>42788</c:v>
                </c:pt>
                <c:pt idx="9">
                  <c:v>44356</c:v>
                </c:pt>
              </c:numCache>
            </c:numRef>
          </c:val>
        </c:ser>
        <c:axId val="209533184"/>
        <c:axId val="209650048"/>
      </c:barChart>
      <c:lineChart>
        <c:grouping val="standard"/>
        <c:ser>
          <c:idx val="2"/>
          <c:order val="2"/>
          <c:tx>
            <c:v>Coeficiente</c:v>
          </c:tx>
          <c:spPr>
            <a:ln w="8771">
              <a:solidFill>
                <a:srgbClr val="FFFF00"/>
              </a:solidFill>
              <a:prstDash val="solid"/>
            </a:ln>
          </c:spPr>
          <c:marker>
            <c:symbol val="triangle"/>
            <c:size val="3"/>
            <c:spPr>
              <a:solidFill>
                <a:srgbClr val="FFFF00"/>
              </a:solidFill>
              <a:ln>
                <a:solidFill>
                  <a:srgbClr val="FFFF00"/>
                </a:solidFill>
                <a:prstDash val="solid"/>
              </a:ln>
            </c:spPr>
          </c:marker>
          <c:val>
            <c:numRef>
              <c:f>'AGE1'!$C$38:$L$38</c:f>
              <c:numCache>
                <c:formatCode>General</c:formatCode>
                <c:ptCount val="10"/>
                <c:pt idx="0">
                  <c:v>1.0599173553719008</c:v>
                </c:pt>
                <c:pt idx="1">
                  <c:v>1.0706126687435105</c:v>
                </c:pt>
                <c:pt idx="2">
                  <c:v>1.1770435282287037</c:v>
                </c:pt>
                <c:pt idx="3">
                  <c:v>1.2667225080770612</c:v>
                </c:pt>
                <c:pt idx="4">
                  <c:v>1.1990944973299273</c:v>
                </c:pt>
                <c:pt idx="5">
                  <c:v>1.3563143328046765</c:v>
                </c:pt>
                <c:pt idx="6">
                  <c:v>1.1432975985064917</c:v>
                </c:pt>
                <c:pt idx="7">
                  <c:v>1.1826247263509622</c:v>
                </c:pt>
                <c:pt idx="8">
                  <c:v>1.2972350230414746</c:v>
                </c:pt>
                <c:pt idx="9">
                  <c:v>1.411487669053302</c:v>
                </c:pt>
              </c:numCache>
            </c:numRef>
          </c:val>
        </c:ser>
        <c:marker val="1"/>
        <c:axId val="209651968"/>
        <c:axId val="209666048"/>
      </c:lineChart>
      <c:catAx>
        <c:axId val="209533184"/>
        <c:scaling>
          <c:orientation val="minMax"/>
        </c:scaling>
        <c:axPos val="b"/>
        <c:numFmt formatCode="General" sourceLinked="1"/>
        <c:tickLblPos val="nextTo"/>
        <c:spPr>
          <a:ln w="2193">
            <a:solidFill>
              <a:srgbClr val="000000"/>
            </a:solidFill>
            <a:prstDash val="solid"/>
          </a:ln>
        </c:spPr>
        <c:txPr>
          <a:bodyPr rot="0" vert="horz"/>
          <a:lstStyle/>
          <a:p>
            <a:pPr>
              <a:defRPr sz="829" b="0" i="0" u="none" strike="noStrike" baseline="0">
                <a:solidFill>
                  <a:srgbClr val="000000"/>
                </a:solidFill>
                <a:latin typeface="Arial"/>
                <a:ea typeface="Arial"/>
                <a:cs typeface="Arial"/>
              </a:defRPr>
            </a:pPr>
            <a:endParaRPr lang="es-ES"/>
          </a:p>
        </c:txPr>
        <c:crossAx val="209650048"/>
        <c:crosses val="autoZero"/>
        <c:auto val="1"/>
        <c:lblAlgn val="ctr"/>
        <c:lblOffset val="100"/>
        <c:tickLblSkip val="1"/>
        <c:tickMarkSkip val="1"/>
      </c:catAx>
      <c:valAx>
        <c:axId val="209650048"/>
        <c:scaling>
          <c:orientation val="minMax"/>
        </c:scaling>
        <c:axPos val="l"/>
        <c:majorGridlines>
          <c:spPr>
            <a:ln w="2193">
              <a:solidFill>
                <a:srgbClr val="000000"/>
              </a:solidFill>
              <a:prstDash val="solid"/>
            </a:ln>
          </c:spPr>
        </c:majorGridlines>
        <c:title>
          <c:tx>
            <c:rich>
              <a:bodyPr/>
              <a:lstStyle/>
              <a:p>
                <a:pPr>
                  <a:defRPr sz="829" b="1" i="0" u="none" strike="noStrike" baseline="0">
                    <a:solidFill>
                      <a:srgbClr val="000000"/>
                    </a:solidFill>
                    <a:latin typeface="Arial"/>
                    <a:ea typeface="Arial"/>
                    <a:cs typeface="Arial"/>
                  </a:defRPr>
                </a:pPr>
                <a:r>
                  <a:t>personas</a:t>
                </a:r>
              </a:p>
            </c:rich>
          </c:tx>
          <c:layout>
            <c:manualLayout>
              <c:xMode val="edge"/>
              <c:yMode val="edge"/>
              <c:x val="1.7488076311605733E-2"/>
              <c:y val="0.29629629629629628"/>
            </c:manualLayout>
          </c:layout>
          <c:spPr>
            <a:noFill/>
            <a:ln w="17542">
              <a:noFill/>
            </a:ln>
          </c:spPr>
        </c:title>
        <c:numFmt formatCode="#,##0" sourceLinked="1"/>
        <c:tickLblPos val="nextTo"/>
        <c:spPr>
          <a:ln w="2193">
            <a:solidFill>
              <a:srgbClr val="000000"/>
            </a:solidFill>
            <a:prstDash val="solid"/>
          </a:ln>
        </c:spPr>
        <c:txPr>
          <a:bodyPr rot="0" vert="horz"/>
          <a:lstStyle/>
          <a:p>
            <a:pPr>
              <a:defRPr sz="829" b="0" i="0" u="none" strike="noStrike" baseline="0">
                <a:solidFill>
                  <a:srgbClr val="000000"/>
                </a:solidFill>
                <a:latin typeface="Arial"/>
                <a:ea typeface="Arial"/>
                <a:cs typeface="Arial"/>
              </a:defRPr>
            </a:pPr>
            <a:endParaRPr lang="es-ES"/>
          </a:p>
        </c:txPr>
        <c:crossAx val="209533184"/>
        <c:crosses val="autoZero"/>
        <c:crossBetween val="between"/>
      </c:valAx>
      <c:catAx>
        <c:axId val="209651968"/>
        <c:scaling>
          <c:orientation val="minMax"/>
        </c:scaling>
        <c:delete val="1"/>
        <c:axPos val="b"/>
        <c:tickLblPos val="none"/>
        <c:crossAx val="209666048"/>
        <c:crosses val="autoZero"/>
        <c:auto val="1"/>
        <c:lblAlgn val="ctr"/>
        <c:lblOffset val="100"/>
      </c:catAx>
      <c:valAx>
        <c:axId val="209666048"/>
        <c:scaling>
          <c:orientation val="minMax"/>
        </c:scaling>
        <c:axPos val="r"/>
        <c:title>
          <c:tx>
            <c:rich>
              <a:bodyPr/>
              <a:lstStyle/>
              <a:p>
                <a:pPr>
                  <a:defRPr sz="829" b="1" i="0" u="none" strike="noStrike" baseline="0">
                    <a:solidFill>
                      <a:srgbClr val="000000"/>
                    </a:solidFill>
                    <a:latin typeface="Arial"/>
                    <a:ea typeface="Arial"/>
                    <a:cs typeface="Arial"/>
                  </a:defRPr>
                </a:pPr>
                <a:r>
                  <a:t>Coef Masc/Fem</a:t>
                </a:r>
              </a:p>
            </c:rich>
          </c:tx>
          <c:layout>
            <c:manualLayout>
              <c:xMode val="edge"/>
              <c:yMode val="edge"/>
              <c:x val="0.93640699523052451"/>
              <c:y val="0.22839506172839513"/>
            </c:manualLayout>
          </c:layout>
          <c:spPr>
            <a:noFill/>
            <a:ln w="17542">
              <a:noFill/>
            </a:ln>
          </c:spPr>
        </c:title>
        <c:numFmt formatCode="General" sourceLinked="1"/>
        <c:majorTickMark val="cross"/>
        <c:tickLblPos val="nextTo"/>
        <c:spPr>
          <a:ln w="2193">
            <a:solidFill>
              <a:srgbClr val="000000"/>
            </a:solidFill>
            <a:prstDash val="solid"/>
          </a:ln>
        </c:spPr>
        <c:txPr>
          <a:bodyPr rot="0" vert="horz"/>
          <a:lstStyle/>
          <a:p>
            <a:pPr>
              <a:defRPr sz="829" b="0" i="0" u="none" strike="noStrike" baseline="0">
                <a:solidFill>
                  <a:srgbClr val="000000"/>
                </a:solidFill>
                <a:latin typeface="Arial"/>
                <a:ea typeface="Arial"/>
                <a:cs typeface="Arial"/>
              </a:defRPr>
            </a:pPr>
            <a:endParaRPr lang="es-ES"/>
          </a:p>
        </c:txPr>
        <c:crossAx val="209651968"/>
        <c:crosses val="max"/>
        <c:crossBetween val="between"/>
      </c:valAx>
      <c:spPr>
        <a:solidFill>
          <a:srgbClr val="C0C0C0"/>
        </a:solidFill>
        <a:ln w="8771">
          <a:solidFill>
            <a:srgbClr val="808080"/>
          </a:solidFill>
          <a:prstDash val="solid"/>
        </a:ln>
      </c:spPr>
    </c:plotArea>
    <c:legend>
      <c:legendPos val="b"/>
      <c:layout>
        <c:manualLayout>
          <c:xMode val="edge"/>
          <c:yMode val="edge"/>
          <c:x val="0.24642289348171706"/>
          <c:y val="0.90740740740740744"/>
          <c:w val="0.54848966613672501"/>
          <c:h val="8.333333333333337E-2"/>
        </c:manualLayout>
      </c:layout>
      <c:spPr>
        <a:solidFill>
          <a:srgbClr val="FFFFFF"/>
        </a:solidFill>
        <a:ln w="2193">
          <a:solidFill>
            <a:srgbClr val="000000"/>
          </a:solidFill>
          <a:prstDash val="solid"/>
        </a:ln>
      </c:spPr>
      <c:txPr>
        <a:bodyPr/>
        <a:lstStyle/>
        <a:p>
          <a:pPr>
            <a:defRPr sz="760"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a:noFill/>
    </a:ln>
  </c:spPr>
  <c:txPr>
    <a:bodyPr/>
    <a:lstStyle/>
    <a:p>
      <a:pPr>
        <a:defRPr sz="829" b="0" i="0" u="none" strike="noStrike" baseline="0">
          <a:solidFill>
            <a:srgbClr val="000000"/>
          </a:solidFill>
          <a:latin typeface="Arial"/>
          <a:ea typeface="Arial"/>
          <a:cs typeface="Arial"/>
        </a:defRPr>
      </a:pPr>
      <a:endParaRPr lang="es-ES"/>
    </a:p>
  </c:txPr>
  <c:externalData r:id="rId1"/>
</c:chartSpace>
</file>

<file path=word/drawings/drawing1.xml><?xml version="1.0" encoding="utf-8"?>
<c:userShapes xmlns:c="http://schemas.openxmlformats.org/drawingml/2006/chart">
  <cdr:relSizeAnchor xmlns:cdr="http://schemas.openxmlformats.org/drawingml/2006/chartDrawing">
    <cdr:from>
      <cdr:x>0.15675</cdr:x>
      <cdr:y>0.23375</cdr:y>
    </cdr:from>
    <cdr:to>
      <cdr:x>0.24525</cdr:x>
      <cdr:y>0.311</cdr:y>
    </cdr:to>
    <cdr:sp macro="" textlink="">
      <cdr:nvSpPr>
        <cdr:cNvPr id="2050" name="Text Box 2"/>
        <cdr:cNvSpPr txBox="1">
          <a:spLocks xmlns:a="http://schemas.openxmlformats.org/drawingml/2006/main" noChangeArrowheads="1"/>
        </cdr:cNvSpPr>
      </cdr:nvSpPr>
      <cdr:spPr bwMode="auto">
        <a:xfrm xmlns:a="http://schemas.openxmlformats.org/drawingml/2006/main">
          <a:off x="822667" y="545485"/>
          <a:ext cx="464472" cy="180272"/>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s-ES" sz="875" b="0" i="0" u="none" strike="noStrike" baseline="0">
              <a:solidFill>
                <a:srgbClr val="000000"/>
              </a:solidFill>
              <a:latin typeface="Arial"/>
              <a:cs typeface="Arial"/>
            </a:rPr>
            <a:t>65.3</a:t>
          </a:r>
        </a:p>
      </cdr:txBody>
    </cdr:sp>
  </cdr:relSizeAnchor>
  <cdr:relSizeAnchor xmlns:cdr="http://schemas.openxmlformats.org/drawingml/2006/chartDrawing">
    <cdr:from>
      <cdr:x>0.224</cdr:x>
      <cdr:y>0.45225</cdr:y>
    </cdr:from>
    <cdr:to>
      <cdr:x>0.31175</cdr:x>
      <cdr:y>0.52875</cdr:y>
    </cdr:to>
    <cdr:sp macro="" textlink="">
      <cdr:nvSpPr>
        <cdr:cNvPr id="2051" name="Text Box 3"/>
        <cdr:cNvSpPr txBox="1">
          <a:spLocks xmlns:a="http://schemas.openxmlformats.org/drawingml/2006/main" noChangeArrowheads="1"/>
        </cdr:cNvSpPr>
      </cdr:nvSpPr>
      <cdr:spPr bwMode="auto">
        <a:xfrm xmlns:a="http://schemas.openxmlformats.org/drawingml/2006/main">
          <a:off x="1175614" y="1055382"/>
          <a:ext cx="460536" cy="178522"/>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s-ES" sz="875" b="0" i="0" u="none" strike="noStrike" baseline="0">
              <a:solidFill>
                <a:srgbClr val="000000"/>
              </a:solidFill>
              <a:latin typeface="Arial"/>
              <a:cs typeface="Arial"/>
            </a:rPr>
            <a:t>33.7</a:t>
          </a:r>
        </a:p>
      </cdr:txBody>
    </cdr:sp>
  </cdr:relSizeAnchor>
  <cdr:relSizeAnchor xmlns:cdr="http://schemas.openxmlformats.org/drawingml/2006/chartDrawing">
    <cdr:from>
      <cdr:x>0.354</cdr:x>
      <cdr:y>0.34025</cdr:y>
    </cdr:from>
    <cdr:to>
      <cdr:x>0.418</cdr:x>
      <cdr:y>0.417</cdr:y>
    </cdr:to>
    <cdr:sp macro="" textlink="">
      <cdr:nvSpPr>
        <cdr:cNvPr id="2052" name="Text Box 4"/>
        <cdr:cNvSpPr txBox="1">
          <a:spLocks xmlns:a="http://schemas.openxmlformats.org/drawingml/2006/main" noChangeArrowheads="1"/>
        </cdr:cNvSpPr>
      </cdr:nvSpPr>
      <cdr:spPr bwMode="auto">
        <a:xfrm xmlns:a="http://schemas.openxmlformats.org/drawingml/2006/main">
          <a:off x="1857889" y="794016"/>
          <a:ext cx="335890" cy="179106"/>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s-ES" sz="875" b="0" i="0" u="none" strike="noStrike" baseline="0">
              <a:solidFill>
                <a:srgbClr val="000000"/>
              </a:solidFill>
              <a:latin typeface="Arial"/>
              <a:cs typeface="Arial"/>
            </a:rPr>
            <a:t>51</a:t>
          </a:r>
        </a:p>
      </cdr:txBody>
    </cdr:sp>
  </cdr:relSizeAnchor>
  <cdr:relSizeAnchor xmlns:cdr="http://schemas.openxmlformats.org/drawingml/2006/chartDrawing">
    <cdr:from>
      <cdr:x>0.41725</cdr:x>
      <cdr:y>0.269</cdr:y>
    </cdr:from>
    <cdr:to>
      <cdr:x>0.50575</cdr:x>
      <cdr:y>0.34625</cdr:y>
    </cdr:to>
    <cdr:sp macro="" textlink="">
      <cdr:nvSpPr>
        <cdr:cNvPr id="2053" name="Text Box 5"/>
        <cdr:cNvSpPr txBox="1">
          <a:spLocks xmlns:a="http://schemas.openxmlformats.org/drawingml/2006/main" noChangeArrowheads="1"/>
        </cdr:cNvSpPr>
      </cdr:nvSpPr>
      <cdr:spPr bwMode="auto">
        <a:xfrm xmlns:a="http://schemas.openxmlformats.org/drawingml/2006/main">
          <a:off x="2189843" y="627745"/>
          <a:ext cx="464472" cy="180273"/>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s-ES" sz="875" b="0" i="0" u="none" strike="noStrike" baseline="0">
              <a:solidFill>
                <a:srgbClr val="000000"/>
              </a:solidFill>
              <a:latin typeface="Arial"/>
              <a:cs typeface="Arial"/>
            </a:rPr>
            <a:t>56.6</a:t>
          </a:r>
        </a:p>
      </cdr:txBody>
    </cdr:sp>
  </cdr:relSizeAnchor>
  <cdr:relSizeAnchor xmlns:cdr="http://schemas.openxmlformats.org/drawingml/2006/chartDrawing">
    <cdr:from>
      <cdr:x>0.4815</cdr:x>
      <cdr:y>0.4935</cdr:y>
    </cdr:from>
    <cdr:to>
      <cdr:x>0.569</cdr:x>
      <cdr:y>0.571</cdr:y>
    </cdr:to>
    <cdr:sp macro="" textlink="">
      <cdr:nvSpPr>
        <cdr:cNvPr id="2054" name="Text Box 6"/>
        <cdr:cNvSpPr txBox="1">
          <a:spLocks xmlns:a="http://schemas.openxmlformats.org/drawingml/2006/main" noChangeArrowheads="1"/>
        </cdr:cNvSpPr>
      </cdr:nvSpPr>
      <cdr:spPr bwMode="auto">
        <a:xfrm xmlns:a="http://schemas.openxmlformats.org/drawingml/2006/main">
          <a:off x="2527044" y="1151644"/>
          <a:ext cx="459224" cy="180856"/>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s-ES" sz="875" b="0" i="0" u="none" strike="noStrike" baseline="0">
              <a:solidFill>
                <a:srgbClr val="000000"/>
              </a:solidFill>
              <a:latin typeface="Arial"/>
              <a:cs typeface="Arial"/>
            </a:rPr>
            <a:t>33.6</a:t>
          </a:r>
        </a:p>
      </cdr:txBody>
    </cdr:sp>
  </cdr:relSizeAnchor>
  <cdr:relSizeAnchor xmlns:cdr="http://schemas.openxmlformats.org/drawingml/2006/chartDrawing">
    <cdr:from>
      <cdr:x>0.61125</cdr:x>
      <cdr:y>0.269</cdr:y>
    </cdr:from>
    <cdr:to>
      <cdr:x>0.6755</cdr:x>
      <cdr:y>0.34625</cdr:y>
    </cdr:to>
    <cdr:sp macro="" textlink="">
      <cdr:nvSpPr>
        <cdr:cNvPr id="2055" name="Text Box 7"/>
        <cdr:cNvSpPr txBox="1">
          <a:spLocks xmlns:a="http://schemas.openxmlformats.org/drawingml/2006/main" noChangeArrowheads="1"/>
        </cdr:cNvSpPr>
      </cdr:nvSpPr>
      <cdr:spPr bwMode="auto">
        <a:xfrm xmlns:a="http://schemas.openxmlformats.org/drawingml/2006/main">
          <a:off x="3208008" y="627745"/>
          <a:ext cx="337202" cy="180273"/>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s-ES" sz="875" b="0" i="0" u="none" strike="noStrike" baseline="0">
              <a:solidFill>
                <a:srgbClr val="000000"/>
              </a:solidFill>
              <a:latin typeface="Arial"/>
              <a:cs typeface="Arial"/>
            </a:rPr>
            <a:t>58</a:t>
          </a:r>
        </a:p>
      </cdr:txBody>
    </cdr:sp>
  </cdr:relSizeAnchor>
  <cdr:relSizeAnchor xmlns:cdr="http://schemas.openxmlformats.org/drawingml/2006/chartDrawing">
    <cdr:from>
      <cdr:x>0.6575</cdr:x>
      <cdr:y>0.08575</cdr:y>
    </cdr:from>
    <cdr:to>
      <cdr:x>0.745</cdr:x>
      <cdr:y>0.2045</cdr:y>
    </cdr:to>
    <cdr:sp macro="" textlink="">
      <cdr:nvSpPr>
        <cdr:cNvPr id="2056" name="Text Box 8"/>
        <cdr:cNvSpPr txBox="1">
          <a:spLocks xmlns:a="http://schemas.openxmlformats.org/drawingml/2006/main" noChangeArrowheads="1"/>
        </cdr:cNvSpPr>
      </cdr:nvSpPr>
      <cdr:spPr bwMode="auto">
        <a:xfrm xmlns:a="http://schemas.openxmlformats.org/drawingml/2006/main">
          <a:off x="3450741" y="200108"/>
          <a:ext cx="459224" cy="277118"/>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s-ES" sz="875" b="0" i="0" u="none" strike="noStrike" baseline="0">
              <a:solidFill>
                <a:srgbClr val="000000"/>
              </a:solidFill>
              <a:latin typeface="Arial"/>
              <a:cs typeface="Arial"/>
            </a:rPr>
            <a:t>77.8</a:t>
          </a:r>
        </a:p>
      </cdr:txBody>
    </cdr:sp>
  </cdr:relSizeAnchor>
  <cdr:relSizeAnchor xmlns:cdr="http://schemas.openxmlformats.org/drawingml/2006/chartDrawing">
    <cdr:from>
      <cdr:x>0.745</cdr:x>
      <cdr:y>0.37575</cdr:y>
    </cdr:from>
    <cdr:to>
      <cdr:x>0.8335</cdr:x>
      <cdr:y>0.45225</cdr:y>
    </cdr:to>
    <cdr:sp macro="" textlink="">
      <cdr:nvSpPr>
        <cdr:cNvPr id="2057" name="Text Box 9"/>
        <cdr:cNvSpPr txBox="1">
          <a:spLocks xmlns:a="http://schemas.openxmlformats.org/drawingml/2006/main" noChangeArrowheads="1"/>
        </cdr:cNvSpPr>
      </cdr:nvSpPr>
      <cdr:spPr bwMode="auto">
        <a:xfrm xmlns:a="http://schemas.openxmlformats.org/drawingml/2006/main">
          <a:off x="3909965" y="876860"/>
          <a:ext cx="464472" cy="178522"/>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s-ES" sz="875" b="0" i="0" u="none" strike="noStrike" baseline="0">
              <a:solidFill>
                <a:srgbClr val="000000"/>
              </a:solidFill>
              <a:latin typeface="Arial"/>
              <a:cs typeface="Arial"/>
            </a:rPr>
            <a:t>42.7</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47</Pages>
  <Words>10099</Words>
  <Characters>55550</Characters>
  <Application>Microsoft Office Word</Application>
  <DocSecurity>0</DocSecurity>
  <Lines>462</Lines>
  <Paragraphs>131</Paragraphs>
  <ScaleCrop>false</ScaleCrop>
  <HeadingPairs>
    <vt:vector size="2" baseType="variant">
      <vt:variant>
        <vt:lpstr>Título</vt:lpstr>
      </vt:variant>
      <vt:variant>
        <vt:i4>1</vt:i4>
      </vt:variant>
    </vt:vector>
  </HeadingPairs>
  <TitlesOfParts>
    <vt:vector size="1" baseType="lpstr">
      <vt:lpstr/>
    </vt:vector>
  </TitlesOfParts>
  <Company>PRHESSA-UCP-BIRF</Company>
  <LinksUpToDate>false</LinksUpToDate>
  <CharactersWithSpaces>65518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Gicela Cente</dc:creator>
  <cp:keywords/>
  <dc:description/>
  <cp:lastModifiedBy>Digitalizacion</cp:lastModifiedBy>
  <cp:revision>2</cp:revision>
  <cp:lastPrinted>2004-06-02T16:38:00Z</cp:lastPrinted>
  <dcterms:created xsi:type="dcterms:W3CDTF">2010-10-04T15:31:00Z</dcterms:created>
  <dcterms:modified xsi:type="dcterms:W3CDTF">2010-10-04T15:31:00Z</dcterms:modified>
</cp:coreProperties>
</file>