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4DEA" w:rsidRPr="002136C8" w:rsidRDefault="002136C8" w:rsidP="001B4DEA">
      <w:pPr>
        <w:jc w:val="both"/>
        <w:rPr>
          <w:rFonts w:ascii="Arial" w:hAnsi="Arial" w:cs="Arial"/>
          <w:sz w:val="24"/>
          <w:szCs w:val="24"/>
        </w:rPr>
      </w:pPr>
      <w:r w:rsidRPr="002136C8">
        <w:rPr>
          <w:rFonts w:ascii="Arial" w:hAnsi="Arial" w:cs="Arial"/>
          <w:sz w:val="24"/>
          <w:szCs w:val="24"/>
        </w:rPr>
        <w:t>Las medidas cautelares en el Proceso Civil y Mercantil Salvadoreño</w:t>
      </w:r>
    </w:p>
    <w:p w:rsidR="002136C8" w:rsidRPr="002136C8" w:rsidRDefault="002136C8" w:rsidP="001B4DEA">
      <w:pPr>
        <w:jc w:val="both"/>
        <w:rPr>
          <w:rFonts w:ascii="Arial" w:hAnsi="Arial" w:cs="Arial"/>
          <w:sz w:val="24"/>
          <w:szCs w:val="24"/>
        </w:rPr>
      </w:pPr>
      <w:r w:rsidRPr="002136C8">
        <w:rPr>
          <w:rFonts w:ascii="Arial" w:hAnsi="Arial" w:cs="Arial"/>
          <w:sz w:val="24"/>
          <w:szCs w:val="24"/>
        </w:rPr>
        <w:t>A partir del ascenso del monopolio de la jurisdicción, el Estado asume el trascendental papel de asegurar a todos los justiciables hacer efectivos sus derechos a través del instrumento del proceso judicial, como poder o manifestación del poder estatal; ya que la jurisdicción es la potestad de juzgar y ejecutar lo juzgado en todo tipo de proceso, la cual corresponde exclusivamente a los jueces y tribunales determinados por la ley, cuya finalidad es que estos cumplan con la función que la ley les ha encomendado ejerciendo el poder.</w:t>
      </w:r>
    </w:p>
    <w:p w:rsidR="002136C8" w:rsidRPr="002136C8" w:rsidRDefault="002136C8" w:rsidP="001B4DEA">
      <w:pPr>
        <w:jc w:val="both"/>
        <w:rPr>
          <w:rFonts w:ascii="Arial" w:hAnsi="Arial" w:cs="Arial"/>
          <w:sz w:val="24"/>
          <w:szCs w:val="24"/>
        </w:rPr>
      </w:pPr>
    </w:p>
    <w:p w:rsidR="002136C8" w:rsidRDefault="002136C8" w:rsidP="001B4DEA">
      <w:pPr>
        <w:jc w:val="both"/>
        <w:rPr>
          <w:rFonts w:ascii="Arial" w:hAnsi="Arial" w:cs="Arial"/>
          <w:sz w:val="24"/>
          <w:szCs w:val="24"/>
        </w:rPr>
      </w:pPr>
      <w:r w:rsidRPr="002136C8">
        <w:rPr>
          <w:rFonts w:ascii="Arial" w:hAnsi="Arial" w:cs="Arial"/>
          <w:sz w:val="24"/>
          <w:szCs w:val="24"/>
        </w:rPr>
        <w:t xml:space="preserve">García Delgado, Edwin Lamberto </w:t>
      </w:r>
    </w:p>
    <w:p w:rsidR="002136C8" w:rsidRDefault="002136C8" w:rsidP="001B4DEA">
      <w:pPr>
        <w:jc w:val="both"/>
        <w:rPr>
          <w:rFonts w:ascii="Arial" w:hAnsi="Arial" w:cs="Arial"/>
          <w:sz w:val="24"/>
          <w:szCs w:val="24"/>
        </w:rPr>
      </w:pPr>
      <w:r w:rsidRPr="002136C8">
        <w:rPr>
          <w:rFonts w:ascii="Arial" w:hAnsi="Arial" w:cs="Arial"/>
          <w:sz w:val="24"/>
          <w:szCs w:val="24"/>
        </w:rPr>
        <w:t>Guerrero Vega, Jessica Yamileth</w:t>
      </w:r>
    </w:p>
    <w:p w:rsidR="002136C8" w:rsidRDefault="002136C8" w:rsidP="001B4DEA">
      <w:pPr>
        <w:jc w:val="both"/>
        <w:rPr>
          <w:rFonts w:ascii="Arial" w:hAnsi="Arial" w:cs="Arial"/>
          <w:sz w:val="24"/>
          <w:szCs w:val="24"/>
        </w:rPr>
      </w:pPr>
      <w:r w:rsidRPr="002136C8">
        <w:rPr>
          <w:rFonts w:ascii="Arial" w:hAnsi="Arial" w:cs="Arial"/>
          <w:sz w:val="24"/>
          <w:szCs w:val="24"/>
        </w:rPr>
        <w:t xml:space="preserve"> López Alarcón, Maryori Estefani</w:t>
      </w:r>
    </w:p>
    <w:p w:rsidR="002136C8" w:rsidRDefault="002136C8" w:rsidP="001B4DEA">
      <w:pPr>
        <w:jc w:val="both"/>
        <w:rPr>
          <w:rFonts w:ascii="Arial" w:hAnsi="Arial" w:cs="Arial"/>
          <w:sz w:val="24"/>
          <w:szCs w:val="24"/>
        </w:rPr>
      </w:pPr>
      <w:r w:rsidRPr="002136C8">
        <w:rPr>
          <w:rFonts w:ascii="Arial" w:hAnsi="Arial" w:cs="Arial"/>
          <w:sz w:val="24"/>
          <w:szCs w:val="24"/>
        </w:rPr>
        <w:t xml:space="preserve"> Ramírez Figueroa, Mélanny Zuleyma</w:t>
      </w:r>
    </w:p>
    <w:p w:rsidR="002136C8" w:rsidRPr="002136C8" w:rsidRDefault="002136C8" w:rsidP="001B4DEA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2136C8" w:rsidRPr="002136C8" w:rsidRDefault="002136C8" w:rsidP="002136C8">
      <w:pPr>
        <w:jc w:val="both"/>
        <w:rPr>
          <w:rFonts w:ascii="Arial" w:hAnsi="Arial" w:cs="Arial"/>
          <w:sz w:val="24"/>
          <w:szCs w:val="24"/>
        </w:rPr>
      </w:pPr>
      <w:r w:rsidRPr="002136C8">
        <w:rPr>
          <w:rFonts w:ascii="Arial" w:hAnsi="Arial" w:cs="Arial"/>
          <w:sz w:val="24"/>
          <w:szCs w:val="24"/>
        </w:rPr>
        <w:t>LICENCIADOS EN CIENCIAS JURÍDICA</w:t>
      </w:r>
      <w:r w:rsidRPr="002136C8">
        <w:rPr>
          <w:rFonts w:ascii="Arial" w:hAnsi="Arial" w:cs="Arial"/>
          <w:sz w:val="24"/>
          <w:szCs w:val="24"/>
        </w:rPr>
        <w:t xml:space="preserve">, </w:t>
      </w:r>
      <w:r w:rsidRPr="002136C8">
        <w:rPr>
          <w:rFonts w:ascii="Arial" w:hAnsi="Arial" w:cs="Arial"/>
          <w:sz w:val="24"/>
          <w:szCs w:val="24"/>
        </w:rPr>
        <w:t>2013</w:t>
      </w:r>
    </w:p>
    <w:sectPr w:rsidR="002136C8" w:rsidRPr="002136C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4DEA"/>
    <w:rsid w:val="00135C9E"/>
    <w:rsid w:val="001B4DEA"/>
    <w:rsid w:val="002136C8"/>
    <w:rsid w:val="00D001D8"/>
    <w:rsid w:val="00E14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34EE16E"/>
  <w15:chartTrackingRefBased/>
  <w15:docId w15:val="{7CD18441-2B20-41BC-81E3-D2A0AD2CB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2023-03-30T20:11:00Z</dcterms:created>
  <dcterms:modified xsi:type="dcterms:W3CDTF">2023-03-30T20:11:00Z</dcterms:modified>
</cp:coreProperties>
</file>