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 xml:space="preserve">Enseñanza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t</w:t>
      </w:r>
      <w:r w:rsidRPr="005C6B7A">
        <w:rPr>
          <w:rFonts w:ascii="Arial" w:hAnsi="Arial" w:cs="Arial"/>
          <w:sz w:val="24"/>
          <w:szCs w:val="24"/>
        </w:rPr>
        <w:t xml:space="preserve">écnicas </w:t>
      </w:r>
      <w:r>
        <w:rPr>
          <w:rFonts w:ascii="Arial" w:hAnsi="Arial" w:cs="Arial"/>
          <w:sz w:val="24"/>
          <w:szCs w:val="24"/>
        </w:rPr>
        <w:t>a</w:t>
      </w:r>
      <w:r w:rsidRPr="005C6B7A">
        <w:rPr>
          <w:rFonts w:ascii="Arial" w:hAnsi="Arial" w:cs="Arial"/>
          <w:sz w:val="24"/>
          <w:szCs w:val="24"/>
        </w:rPr>
        <w:t xml:space="preserve">rtísticas </w:t>
      </w:r>
      <w:r>
        <w:rPr>
          <w:rFonts w:ascii="Arial" w:hAnsi="Arial" w:cs="Arial"/>
          <w:sz w:val="24"/>
          <w:szCs w:val="24"/>
        </w:rPr>
        <w:t>p</w:t>
      </w:r>
      <w:r w:rsidRPr="005C6B7A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i</w:t>
      </w:r>
      <w:r w:rsidRPr="005C6B7A">
        <w:rPr>
          <w:rFonts w:ascii="Arial" w:hAnsi="Arial" w:cs="Arial"/>
          <w:sz w:val="24"/>
          <w:szCs w:val="24"/>
        </w:rPr>
        <w:t xml:space="preserve">ncremento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5C6B7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5C6B7A">
        <w:rPr>
          <w:rFonts w:ascii="Arial" w:hAnsi="Arial" w:cs="Arial"/>
          <w:sz w:val="24"/>
          <w:szCs w:val="24"/>
        </w:rPr>
        <w:t xml:space="preserve">reatividad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5C6B7A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a</w:t>
      </w:r>
      <w:r w:rsidRPr="005C6B7A">
        <w:rPr>
          <w:rFonts w:ascii="Arial" w:hAnsi="Arial" w:cs="Arial"/>
          <w:sz w:val="24"/>
          <w:szCs w:val="24"/>
        </w:rPr>
        <w:t xml:space="preserve">lumnos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5C6B7A">
        <w:rPr>
          <w:rFonts w:ascii="Arial" w:hAnsi="Arial" w:cs="Arial"/>
          <w:sz w:val="24"/>
          <w:szCs w:val="24"/>
        </w:rPr>
        <w:t xml:space="preserve">rimero </w:t>
      </w:r>
      <w:r>
        <w:rPr>
          <w:rFonts w:ascii="Arial" w:hAnsi="Arial" w:cs="Arial"/>
          <w:sz w:val="24"/>
          <w:szCs w:val="24"/>
        </w:rPr>
        <w:t>a</w:t>
      </w:r>
      <w:r w:rsidRPr="005C6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5C6B7A">
        <w:rPr>
          <w:rFonts w:ascii="Arial" w:hAnsi="Arial" w:cs="Arial"/>
          <w:sz w:val="24"/>
          <w:szCs w:val="24"/>
        </w:rPr>
        <w:t xml:space="preserve">exto </w:t>
      </w:r>
      <w:r>
        <w:rPr>
          <w:rFonts w:ascii="Arial" w:hAnsi="Arial" w:cs="Arial"/>
          <w:sz w:val="24"/>
          <w:szCs w:val="24"/>
        </w:rPr>
        <w:t>g</w:t>
      </w:r>
      <w:r w:rsidRPr="005C6B7A">
        <w:rPr>
          <w:rFonts w:ascii="Arial" w:hAnsi="Arial" w:cs="Arial"/>
          <w:sz w:val="24"/>
          <w:szCs w:val="24"/>
        </w:rPr>
        <w:t xml:space="preserve">rado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el Centro Escolar Santa Ana California, </w:t>
      </w:r>
      <w:r>
        <w:rPr>
          <w:rFonts w:ascii="Arial" w:hAnsi="Arial" w:cs="Arial"/>
          <w:sz w:val="24"/>
          <w:szCs w:val="24"/>
        </w:rPr>
        <w:t>u</w:t>
      </w:r>
      <w:r w:rsidRPr="005C6B7A">
        <w:rPr>
          <w:rFonts w:ascii="Arial" w:hAnsi="Arial" w:cs="Arial"/>
          <w:sz w:val="24"/>
          <w:szCs w:val="24"/>
        </w:rPr>
        <w:t xml:space="preserve">bicado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n La Colonia Jardines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el Tecana,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m</w:t>
      </w:r>
      <w:r w:rsidRPr="005C6B7A">
        <w:rPr>
          <w:rFonts w:ascii="Arial" w:hAnsi="Arial" w:cs="Arial"/>
          <w:sz w:val="24"/>
          <w:szCs w:val="24"/>
        </w:rPr>
        <w:t xml:space="preserve">unicipio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Santa Ana, </w:t>
      </w:r>
      <w:r>
        <w:rPr>
          <w:rFonts w:ascii="Arial" w:hAnsi="Arial" w:cs="Arial"/>
          <w:sz w:val="24"/>
          <w:szCs w:val="24"/>
        </w:rPr>
        <w:t>a</w:t>
      </w:r>
      <w:r w:rsidRPr="005C6B7A">
        <w:rPr>
          <w:rFonts w:ascii="Arial" w:hAnsi="Arial" w:cs="Arial"/>
          <w:sz w:val="24"/>
          <w:szCs w:val="24"/>
        </w:rPr>
        <w:t>ño 2018</w:t>
      </w: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C6B7A">
        <w:rPr>
          <w:rFonts w:ascii="Arial" w:hAnsi="Arial" w:cs="Arial"/>
          <w:sz w:val="24"/>
          <w:szCs w:val="24"/>
        </w:rPr>
        <w:t xml:space="preserve">Arévalo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>e Cáceres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Fabiola</w:t>
      </w:r>
      <w:bookmarkEnd w:id="0"/>
      <w:r w:rsidRPr="005C6B7A">
        <w:rPr>
          <w:rFonts w:ascii="Arial" w:hAnsi="Arial" w:cs="Arial"/>
          <w:sz w:val="24"/>
          <w:szCs w:val="24"/>
        </w:rPr>
        <w:t xml:space="preserve"> Leticia</w:t>
      </w: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Murcia Ramírez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Carmen Andrea</w:t>
      </w: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Navarro Martínez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María Mercedes</w:t>
      </w: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 xml:space="preserve">Rodríguez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>e López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Joselyn Estefani</w:t>
      </w: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</w:p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Jorge Ismael García Corleto</w:t>
      </w:r>
    </w:p>
    <w:p w:rsidR="009B0170" w:rsidRPr="005C6B7A" w:rsidRDefault="009B0170" w:rsidP="009B0170">
      <w:pPr>
        <w:jc w:val="both"/>
        <w:rPr>
          <w:rFonts w:ascii="Arial" w:hAnsi="Arial" w:cs="Arial"/>
          <w:sz w:val="24"/>
          <w:szCs w:val="24"/>
        </w:rPr>
      </w:pPr>
    </w:p>
    <w:p w:rsidR="009B0170" w:rsidRP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 xml:space="preserve">Se enfatiza en cómo la materia de educación artística está siendo desarrollada de manera que no está contribuyendo a incrementar la creatividad en los estudiantes, ya que se observó falta de preparación e inexperiencia de los docentes para asumir su rol con relación a la enseñanza de técnicas artísticas. </w:t>
      </w:r>
      <w:r>
        <w:rPr>
          <w:rFonts w:ascii="Arial" w:hAnsi="Arial" w:cs="Arial"/>
          <w:sz w:val="24"/>
          <w:szCs w:val="24"/>
        </w:rPr>
        <w:t xml:space="preserve">Se </w:t>
      </w:r>
      <w:r w:rsidRPr="009B0170">
        <w:rPr>
          <w:rFonts w:ascii="Arial" w:hAnsi="Arial" w:cs="Arial"/>
          <w:sz w:val="24"/>
          <w:szCs w:val="24"/>
        </w:rPr>
        <w:t xml:space="preserve">revisa la literatura académica desde sus antecedentes históricos haciendo referencia al origen y desarrollo de la educación artística en El Salvador. </w:t>
      </w:r>
      <w:r>
        <w:rPr>
          <w:rFonts w:ascii="Arial" w:hAnsi="Arial" w:cs="Arial"/>
          <w:sz w:val="24"/>
          <w:szCs w:val="24"/>
        </w:rPr>
        <w:t>S</w:t>
      </w:r>
      <w:r w:rsidRPr="009B0170">
        <w:rPr>
          <w:rFonts w:ascii="Arial" w:hAnsi="Arial" w:cs="Arial"/>
          <w:sz w:val="24"/>
          <w:szCs w:val="24"/>
        </w:rPr>
        <w:t>e incluye la fundamentación teórica sobre la creatividad, constituido por los términos básicos que se manejan durante el desarrollo de la investigación tal y como los adoptó o los comprende el grupo.</w:t>
      </w:r>
    </w:p>
    <w:p w:rsidR="00B936D3" w:rsidRDefault="009B0170"/>
    <w:p w:rsidR="009B0170" w:rsidRDefault="009B0170" w:rsidP="009B0170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466CD9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2019.</w:t>
      </w:r>
    </w:p>
    <w:p w:rsidR="009B0170" w:rsidRDefault="009B0170"/>
    <w:sectPr w:rsidR="009B0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70"/>
    <w:rsid w:val="003066CC"/>
    <w:rsid w:val="008F3485"/>
    <w:rsid w:val="009B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6EB9F"/>
  <w15:chartTrackingRefBased/>
  <w15:docId w15:val="{D96E00F6-C88C-4940-ACDC-463B43A9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17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2023-05-07T23:16:00Z</dcterms:created>
  <dcterms:modified xsi:type="dcterms:W3CDTF">2023-05-07T23:24:00Z</dcterms:modified>
</cp:coreProperties>
</file>