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7AA0" w:rsidRDefault="00197AA0" w:rsidP="0072382D">
      <w:pPr>
        <w:spacing w:line="360" w:lineRule="auto"/>
        <w:ind w:left="57"/>
        <w:jc w:val="center"/>
        <w:rPr>
          <w:rFonts w:ascii="Arial" w:hAnsi="Arial" w:cs="Arial"/>
          <w:sz w:val="26"/>
          <w:szCs w:val="26"/>
        </w:rPr>
      </w:pPr>
      <w:r>
        <w:rPr>
          <w:rFonts w:ascii="Arial" w:hAnsi="Arial" w:cs="Arial"/>
          <w:sz w:val="26"/>
          <w:szCs w:val="26"/>
        </w:rPr>
        <w:t>UNIVERSIDAD DE EL SALVADOR</w:t>
      </w:r>
    </w:p>
    <w:p w:rsidR="00197AA0" w:rsidRDefault="00197AA0" w:rsidP="0072382D">
      <w:pPr>
        <w:spacing w:line="360" w:lineRule="auto"/>
        <w:ind w:left="57"/>
        <w:jc w:val="center"/>
        <w:rPr>
          <w:rFonts w:ascii="Arial" w:hAnsi="Arial" w:cs="Arial"/>
          <w:sz w:val="26"/>
          <w:szCs w:val="26"/>
        </w:rPr>
      </w:pPr>
      <w:r>
        <w:rPr>
          <w:rFonts w:ascii="Arial" w:hAnsi="Arial" w:cs="Arial"/>
          <w:sz w:val="26"/>
          <w:szCs w:val="26"/>
        </w:rPr>
        <w:t>FACULTAD DE JURISPRUDENCIA Y CIENCIAS SOCIALES</w:t>
      </w:r>
    </w:p>
    <w:p w:rsidR="00197AA0" w:rsidRDefault="00197AA0" w:rsidP="0072382D">
      <w:pPr>
        <w:spacing w:line="360" w:lineRule="auto"/>
        <w:ind w:left="57"/>
        <w:jc w:val="center"/>
        <w:rPr>
          <w:rFonts w:ascii="Arial" w:hAnsi="Arial" w:cs="Arial"/>
          <w:sz w:val="26"/>
          <w:szCs w:val="26"/>
        </w:rPr>
      </w:pPr>
      <w:r>
        <w:rPr>
          <w:rFonts w:ascii="Arial" w:hAnsi="Arial" w:cs="Arial"/>
          <w:sz w:val="26"/>
          <w:szCs w:val="26"/>
        </w:rPr>
        <w:t>ESCUELA DE RELACIONES INTERNACIONALES</w:t>
      </w:r>
    </w:p>
    <w:p w:rsidR="00197AA0" w:rsidRDefault="00197AA0" w:rsidP="0072382D">
      <w:pPr>
        <w:spacing w:line="360" w:lineRule="auto"/>
        <w:rPr>
          <w:rFonts w:ascii="Arial" w:hAnsi="Arial" w:cs="Arial"/>
          <w:b/>
          <w:sz w:val="26"/>
          <w:szCs w:val="26"/>
        </w:rPr>
      </w:pPr>
    </w:p>
    <w:p w:rsidR="00197AA0" w:rsidRDefault="007C6B79" w:rsidP="0072382D">
      <w:pPr>
        <w:spacing w:line="360" w:lineRule="auto"/>
        <w:ind w:left="57"/>
        <w:jc w:val="center"/>
        <w:rPr>
          <w:sz w:val="26"/>
          <w:szCs w:val="26"/>
          <w:lang w:val="es-SV"/>
        </w:rPr>
      </w:pPr>
      <w:r>
        <w:rPr>
          <w:noProof/>
          <w:sz w:val="26"/>
          <w:szCs w:val="26"/>
        </w:rPr>
        <w:drawing>
          <wp:inline distT="0" distB="0" distL="0" distR="0">
            <wp:extent cx="1447800" cy="1657350"/>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grayscl/>
                    </a:blip>
                    <a:srcRect/>
                    <a:stretch>
                      <a:fillRect/>
                    </a:stretch>
                  </pic:blipFill>
                  <pic:spPr bwMode="auto">
                    <a:xfrm>
                      <a:off x="0" y="0"/>
                      <a:ext cx="1447800" cy="1657350"/>
                    </a:xfrm>
                    <a:prstGeom prst="rect">
                      <a:avLst/>
                    </a:prstGeom>
                    <a:solidFill>
                      <a:srgbClr val="FFFFFF"/>
                    </a:solidFill>
                    <a:ln w="9525">
                      <a:noFill/>
                      <a:miter lim="800000"/>
                      <a:headEnd/>
                      <a:tailEnd/>
                    </a:ln>
                  </pic:spPr>
                </pic:pic>
              </a:graphicData>
            </a:graphic>
          </wp:inline>
        </w:drawing>
      </w:r>
    </w:p>
    <w:p w:rsidR="00197AA0" w:rsidRDefault="00197AA0" w:rsidP="0072382D">
      <w:pPr>
        <w:spacing w:line="360" w:lineRule="auto"/>
        <w:ind w:left="57"/>
        <w:jc w:val="center"/>
        <w:rPr>
          <w:b/>
          <w:sz w:val="26"/>
          <w:szCs w:val="26"/>
        </w:rPr>
      </w:pPr>
    </w:p>
    <w:p w:rsidR="00197AA0" w:rsidRPr="00DA52B0" w:rsidRDefault="00197AA0" w:rsidP="0072382D">
      <w:pPr>
        <w:spacing w:line="360" w:lineRule="auto"/>
        <w:ind w:left="57"/>
        <w:jc w:val="center"/>
        <w:rPr>
          <w:rFonts w:ascii="Arial" w:hAnsi="Arial" w:cs="Arial"/>
          <w:sz w:val="28"/>
          <w:szCs w:val="28"/>
        </w:rPr>
      </w:pPr>
      <w:r w:rsidRPr="00DA52B0">
        <w:rPr>
          <w:rFonts w:ascii="Arial" w:hAnsi="Arial" w:cs="Arial"/>
          <w:sz w:val="28"/>
          <w:szCs w:val="28"/>
        </w:rPr>
        <w:t>TRABAJO DE INVESTIGACIÓN:</w:t>
      </w:r>
    </w:p>
    <w:p w:rsidR="00197AA0" w:rsidRPr="002E5852" w:rsidRDefault="00197AA0" w:rsidP="0012522B">
      <w:pPr>
        <w:spacing w:line="360" w:lineRule="auto"/>
        <w:ind w:left="57"/>
        <w:jc w:val="center"/>
        <w:rPr>
          <w:rFonts w:ascii="Arial" w:hAnsi="Arial" w:cs="Arial"/>
          <w:sz w:val="32"/>
          <w:szCs w:val="32"/>
        </w:rPr>
      </w:pPr>
      <w:smartTag w:uri="urn:schemas-microsoft-com:office:smarttags" w:element="PersonName">
        <w:smartTagPr>
          <w:attr w:name="ProductID" w:val="LA REGULACIￓN MARￍTIMA"/>
        </w:smartTagPr>
        <w:r w:rsidRPr="002E5852">
          <w:rPr>
            <w:rFonts w:ascii="Arial" w:hAnsi="Arial" w:cs="Arial"/>
            <w:sz w:val="32"/>
            <w:szCs w:val="32"/>
          </w:rPr>
          <w:t>LA REGULACIÓN MARÍTIMA</w:t>
        </w:r>
      </w:smartTag>
      <w:r w:rsidRPr="002E5852">
        <w:rPr>
          <w:rFonts w:ascii="Arial" w:hAnsi="Arial" w:cs="Arial"/>
          <w:sz w:val="32"/>
          <w:szCs w:val="32"/>
        </w:rPr>
        <w:t xml:space="preserve"> INTERNACIONAL PARA REDUCIR </w:t>
      </w:r>
      <w:smartTag w:uri="urn:schemas-microsoft-com:office:smarttags" w:element="PersonName">
        <w:smartTagPr>
          <w:attr w:name="ProductID" w:val="LA CONTAMINACIￓN POR"/>
        </w:smartTagPr>
        <w:r w:rsidRPr="002E5852">
          <w:rPr>
            <w:rFonts w:ascii="Arial" w:hAnsi="Arial" w:cs="Arial"/>
            <w:sz w:val="32"/>
            <w:szCs w:val="32"/>
          </w:rPr>
          <w:t>LA CONTAMINACIÓN POR</w:t>
        </w:r>
      </w:smartTag>
      <w:r w:rsidRPr="002E5852">
        <w:rPr>
          <w:rFonts w:ascii="Arial" w:hAnsi="Arial" w:cs="Arial"/>
          <w:sz w:val="32"/>
          <w:szCs w:val="32"/>
        </w:rPr>
        <w:t xml:space="preserve"> HIDROCARBUROS: EVOLUCIÓN DESDE 1950 HASTA 2010 Y PERSPECTIVAS DEL PUERTO DE </w:t>
      </w:r>
      <w:smartTag w:uri="urn:schemas-microsoft-com:office:smarttags" w:element="PersonName">
        <w:smartTagPr>
          <w:attr w:name="ProductID" w:val="La Uni￳n"/>
        </w:smartTagPr>
        <w:r w:rsidRPr="002E5852">
          <w:rPr>
            <w:rFonts w:ascii="Arial" w:hAnsi="Arial" w:cs="Arial"/>
            <w:sz w:val="32"/>
            <w:szCs w:val="32"/>
          </w:rPr>
          <w:t>LA UNIÓN</w:t>
        </w:r>
      </w:smartTag>
    </w:p>
    <w:p w:rsidR="00197AA0" w:rsidRDefault="00197AA0" w:rsidP="0012522B">
      <w:pPr>
        <w:spacing w:line="360" w:lineRule="auto"/>
        <w:ind w:left="57"/>
        <w:jc w:val="center"/>
        <w:rPr>
          <w:rFonts w:ascii="Arial" w:hAnsi="Arial" w:cs="Arial"/>
          <w:sz w:val="26"/>
          <w:szCs w:val="26"/>
        </w:rPr>
      </w:pPr>
    </w:p>
    <w:p w:rsidR="00197AA0" w:rsidRPr="00DA52B0" w:rsidRDefault="00197AA0" w:rsidP="0072382D">
      <w:pPr>
        <w:spacing w:line="360" w:lineRule="auto"/>
        <w:ind w:left="57"/>
        <w:jc w:val="center"/>
        <w:rPr>
          <w:rFonts w:ascii="Arial" w:hAnsi="Arial" w:cs="Arial"/>
          <w:sz w:val="28"/>
          <w:szCs w:val="28"/>
        </w:rPr>
      </w:pPr>
      <w:r w:rsidRPr="00DA52B0">
        <w:rPr>
          <w:rFonts w:ascii="Arial" w:hAnsi="Arial" w:cs="Arial"/>
          <w:sz w:val="28"/>
          <w:szCs w:val="28"/>
        </w:rPr>
        <w:t>PRESENTADO POR:</w:t>
      </w:r>
    </w:p>
    <w:p w:rsidR="00197AA0" w:rsidRPr="002E5852" w:rsidRDefault="00197AA0" w:rsidP="0072382D">
      <w:pPr>
        <w:spacing w:line="360" w:lineRule="auto"/>
        <w:ind w:left="57"/>
        <w:jc w:val="center"/>
        <w:rPr>
          <w:rFonts w:ascii="Arial" w:hAnsi="Arial" w:cs="Arial"/>
          <w:sz w:val="30"/>
          <w:szCs w:val="30"/>
        </w:rPr>
      </w:pPr>
      <w:r w:rsidRPr="002E5852">
        <w:rPr>
          <w:rFonts w:ascii="Arial" w:hAnsi="Arial" w:cs="Arial"/>
          <w:sz w:val="30"/>
          <w:szCs w:val="30"/>
        </w:rPr>
        <w:t>KARLA NATHALIE PÉREZ VALENCIA</w:t>
      </w:r>
    </w:p>
    <w:p w:rsidR="00197AA0" w:rsidRPr="002E5852" w:rsidRDefault="00197AA0" w:rsidP="0072382D">
      <w:pPr>
        <w:spacing w:line="360" w:lineRule="auto"/>
        <w:ind w:left="57"/>
        <w:jc w:val="center"/>
        <w:rPr>
          <w:rFonts w:ascii="Arial" w:hAnsi="Arial" w:cs="Arial"/>
          <w:sz w:val="30"/>
          <w:szCs w:val="30"/>
        </w:rPr>
      </w:pPr>
      <w:r w:rsidRPr="002E5852">
        <w:rPr>
          <w:rFonts w:ascii="Arial" w:hAnsi="Arial" w:cs="Arial"/>
          <w:sz w:val="30"/>
          <w:szCs w:val="30"/>
        </w:rPr>
        <w:t>JULIO ALEJANDRO HERNÁNDEZ QUIJANO</w:t>
      </w:r>
    </w:p>
    <w:p w:rsidR="00197AA0" w:rsidRPr="002E5852" w:rsidRDefault="00197AA0" w:rsidP="0072382D">
      <w:pPr>
        <w:spacing w:line="360" w:lineRule="auto"/>
        <w:ind w:left="57"/>
        <w:jc w:val="center"/>
        <w:rPr>
          <w:rFonts w:ascii="Arial" w:hAnsi="Arial" w:cs="Arial"/>
          <w:sz w:val="30"/>
          <w:szCs w:val="30"/>
        </w:rPr>
      </w:pPr>
      <w:r w:rsidRPr="002E5852">
        <w:rPr>
          <w:rFonts w:ascii="Arial" w:hAnsi="Arial" w:cs="Arial"/>
          <w:sz w:val="30"/>
          <w:szCs w:val="30"/>
        </w:rPr>
        <w:t>ALDO SALOMÓN MEJÍA MARTÍNEZ</w:t>
      </w:r>
    </w:p>
    <w:p w:rsidR="00197AA0" w:rsidRDefault="00197AA0" w:rsidP="002E5852">
      <w:pPr>
        <w:spacing w:line="360" w:lineRule="auto"/>
        <w:rPr>
          <w:rFonts w:ascii="Arial" w:hAnsi="Arial" w:cs="Arial"/>
          <w:sz w:val="26"/>
          <w:szCs w:val="26"/>
        </w:rPr>
      </w:pPr>
    </w:p>
    <w:p w:rsidR="00197AA0" w:rsidRDefault="00197AA0" w:rsidP="0072382D">
      <w:pPr>
        <w:spacing w:line="360" w:lineRule="auto"/>
        <w:ind w:left="57"/>
        <w:jc w:val="center"/>
        <w:rPr>
          <w:rFonts w:ascii="Arial" w:hAnsi="Arial" w:cs="Arial"/>
          <w:sz w:val="26"/>
          <w:szCs w:val="26"/>
        </w:rPr>
      </w:pPr>
      <w:r>
        <w:rPr>
          <w:rFonts w:ascii="Arial" w:hAnsi="Arial" w:cs="Arial"/>
          <w:sz w:val="26"/>
          <w:szCs w:val="26"/>
        </w:rPr>
        <w:t>PARA OPTAR AL GRADO DE:</w:t>
      </w:r>
    </w:p>
    <w:p w:rsidR="00197AA0" w:rsidRDefault="00197AA0" w:rsidP="0072382D">
      <w:pPr>
        <w:spacing w:line="360" w:lineRule="auto"/>
        <w:ind w:left="57"/>
        <w:jc w:val="center"/>
        <w:rPr>
          <w:rFonts w:ascii="Arial" w:hAnsi="Arial" w:cs="Arial"/>
          <w:sz w:val="26"/>
          <w:szCs w:val="26"/>
        </w:rPr>
      </w:pPr>
      <w:r>
        <w:rPr>
          <w:rFonts w:ascii="Arial" w:hAnsi="Arial" w:cs="Arial"/>
          <w:sz w:val="26"/>
          <w:szCs w:val="26"/>
        </w:rPr>
        <w:t>LICENCIATURA EN RELACIONES INTERNACIONALES</w:t>
      </w:r>
    </w:p>
    <w:p w:rsidR="00197AA0" w:rsidRDefault="00197AA0" w:rsidP="0072382D">
      <w:pPr>
        <w:spacing w:line="360" w:lineRule="auto"/>
        <w:ind w:left="57"/>
        <w:jc w:val="center"/>
        <w:rPr>
          <w:rFonts w:ascii="Arial" w:hAnsi="Arial" w:cs="Arial"/>
          <w:b/>
          <w:sz w:val="26"/>
          <w:szCs w:val="26"/>
        </w:rPr>
      </w:pPr>
    </w:p>
    <w:p w:rsidR="00197AA0" w:rsidRDefault="00197AA0" w:rsidP="0072382D">
      <w:pPr>
        <w:spacing w:line="360" w:lineRule="auto"/>
        <w:rPr>
          <w:rFonts w:ascii="Arial" w:hAnsi="Arial" w:cs="Arial"/>
          <w:sz w:val="26"/>
          <w:szCs w:val="26"/>
        </w:rPr>
      </w:pPr>
    </w:p>
    <w:p w:rsidR="00197AA0" w:rsidRDefault="00197AA0" w:rsidP="0072382D">
      <w:pPr>
        <w:spacing w:line="360" w:lineRule="auto"/>
        <w:ind w:left="57"/>
        <w:jc w:val="center"/>
        <w:rPr>
          <w:rFonts w:ascii="Arial" w:hAnsi="Arial" w:cs="Arial"/>
          <w:sz w:val="26"/>
          <w:szCs w:val="26"/>
        </w:rPr>
      </w:pPr>
      <w:r>
        <w:rPr>
          <w:rFonts w:ascii="Arial" w:hAnsi="Arial" w:cs="Arial"/>
          <w:sz w:val="26"/>
          <w:szCs w:val="26"/>
        </w:rPr>
        <w:t>SAN SALVADOR, 17 SEPTIEMBRE DE 2010</w:t>
      </w:r>
    </w:p>
    <w:p w:rsidR="00197AA0" w:rsidRDefault="00197AA0" w:rsidP="0072382D">
      <w:pPr>
        <w:jc w:val="center"/>
        <w:rPr>
          <w:rFonts w:ascii="Arial" w:hAnsi="Arial" w:cs="Arial"/>
          <w:b/>
          <w:sz w:val="26"/>
          <w:szCs w:val="26"/>
        </w:rPr>
      </w:pPr>
      <w:r>
        <w:rPr>
          <w:rFonts w:ascii="Arial" w:hAnsi="Arial" w:cs="Arial"/>
          <w:b/>
          <w:sz w:val="26"/>
          <w:szCs w:val="26"/>
        </w:rPr>
        <w:lastRenderedPageBreak/>
        <w:t>UNIVERSIDAD DE EL SALVADOR</w:t>
      </w:r>
    </w:p>
    <w:p w:rsidR="00197AA0" w:rsidRDefault="00197AA0" w:rsidP="0072382D">
      <w:pPr>
        <w:jc w:val="center"/>
        <w:rPr>
          <w:rFonts w:ascii="Arial" w:hAnsi="Arial" w:cs="Arial"/>
          <w:sz w:val="26"/>
          <w:szCs w:val="26"/>
        </w:rPr>
      </w:pPr>
    </w:p>
    <w:p w:rsidR="00197AA0" w:rsidRDefault="007C6B79" w:rsidP="0072382D">
      <w:pPr>
        <w:jc w:val="center"/>
        <w:rPr>
          <w:rFonts w:ascii="Arial" w:hAnsi="Arial" w:cs="Arial"/>
          <w:b/>
          <w:sz w:val="26"/>
          <w:szCs w:val="26"/>
        </w:rPr>
      </w:pPr>
      <w:r>
        <w:rPr>
          <w:noProof/>
        </w:rPr>
        <w:drawing>
          <wp:anchor distT="0" distB="7620" distL="114935" distR="114935" simplePos="0" relativeHeight="251658240" behindDoc="1" locked="0" layoutInCell="1" allowOverlap="1">
            <wp:simplePos x="0" y="0"/>
            <wp:positionH relativeFrom="column">
              <wp:posOffset>110490</wp:posOffset>
            </wp:positionH>
            <wp:positionV relativeFrom="paragraph">
              <wp:posOffset>-7620</wp:posOffset>
            </wp:positionV>
            <wp:extent cx="5412740" cy="7436485"/>
            <wp:effectExtent l="19050" t="0" r="0" b="0"/>
            <wp:wrapNone/>
            <wp:docPr id="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9"/>
                    <a:srcRect/>
                    <a:stretch>
                      <a:fillRect/>
                    </a:stretch>
                  </pic:blipFill>
                  <pic:spPr bwMode="auto">
                    <a:xfrm>
                      <a:off x="0" y="0"/>
                      <a:ext cx="5412740" cy="7436485"/>
                    </a:xfrm>
                    <a:prstGeom prst="rect">
                      <a:avLst/>
                    </a:prstGeom>
                    <a:solidFill>
                      <a:srgbClr val="FFFFFF"/>
                    </a:solidFill>
                    <a:ln w="6350">
                      <a:miter lim="800000"/>
                      <a:headEnd/>
                      <a:tailEnd/>
                    </a:ln>
                  </pic:spPr>
                </pic:pic>
              </a:graphicData>
            </a:graphic>
          </wp:anchor>
        </w:drawing>
      </w:r>
      <w:r w:rsidR="00197AA0">
        <w:rPr>
          <w:rFonts w:ascii="Arial" w:hAnsi="Arial" w:cs="Arial"/>
          <w:b/>
          <w:sz w:val="26"/>
          <w:szCs w:val="26"/>
        </w:rPr>
        <w:t>RECTOR:</w:t>
      </w:r>
    </w:p>
    <w:p w:rsidR="00197AA0" w:rsidRDefault="00197AA0" w:rsidP="0072382D">
      <w:pPr>
        <w:jc w:val="center"/>
        <w:rPr>
          <w:rFonts w:ascii="Arial" w:hAnsi="Arial" w:cs="Arial"/>
          <w:sz w:val="26"/>
          <w:szCs w:val="26"/>
          <w:lang w:val="pt-BR"/>
        </w:rPr>
      </w:pPr>
      <w:r>
        <w:rPr>
          <w:rFonts w:ascii="Arial" w:hAnsi="Arial" w:cs="Arial"/>
          <w:sz w:val="26"/>
          <w:szCs w:val="26"/>
          <w:lang w:val="pt-BR"/>
        </w:rPr>
        <w:t>Ingeniero Rufino Quezada</w:t>
      </w:r>
    </w:p>
    <w:p w:rsidR="00197AA0" w:rsidRDefault="00197AA0" w:rsidP="0072382D">
      <w:pPr>
        <w:jc w:val="center"/>
        <w:rPr>
          <w:rFonts w:ascii="Arial" w:hAnsi="Arial" w:cs="Arial"/>
          <w:sz w:val="26"/>
          <w:szCs w:val="26"/>
          <w:lang w:val="pt-BR"/>
        </w:rPr>
      </w:pPr>
    </w:p>
    <w:p w:rsidR="00197AA0" w:rsidRDefault="00197AA0" w:rsidP="0072382D">
      <w:pPr>
        <w:jc w:val="center"/>
        <w:rPr>
          <w:rFonts w:ascii="Arial" w:hAnsi="Arial" w:cs="Arial"/>
          <w:b/>
          <w:sz w:val="26"/>
          <w:szCs w:val="26"/>
          <w:lang w:val="pt-BR"/>
        </w:rPr>
      </w:pPr>
      <w:r>
        <w:rPr>
          <w:rFonts w:ascii="Arial" w:hAnsi="Arial" w:cs="Arial"/>
          <w:b/>
          <w:sz w:val="26"/>
          <w:szCs w:val="26"/>
          <w:lang w:val="pt-BR"/>
        </w:rPr>
        <w:t>VICE RECTOR ACADÉMICO:</w:t>
      </w:r>
    </w:p>
    <w:p w:rsidR="00197AA0" w:rsidRDefault="00197AA0" w:rsidP="0072382D">
      <w:pPr>
        <w:jc w:val="center"/>
        <w:rPr>
          <w:rFonts w:ascii="Arial" w:hAnsi="Arial" w:cs="Arial"/>
          <w:sz w:val="26"/>
          <w:szCs w:val="26"/>
          <w:lang w:val="pt-BR"/>
        </w:rPr>
      </w:pPr>
      <w:r>
        <w:rPr>
          <w:rFonts w:ascii="Arial" w:hAnsi="Arial" w:cs="Arial"/>
          <w:sz w:val="26"/>
          <w:szCs w:val="26"/>
          <w:lang w:val="pt-BR"/>
        </w:rPr>
        <w:t>Licenciado Miguel Angel Pérez</w:t>
      </w:r>
    </w:p>
    <w:p w:rsidR="00197AA0" w:rsidRDefault="00197AA0" w:rsidP="0072382D">
      <w:pPr>
        <w:jc w:val="center"/>
        <w:rPr>
          <w:rFonts w:ascii="Arial" w:hAnsi="Arial" w:cs="Arial"/>
          <w:sz w:val="26"/>
          <w:szCs w:val="26"/>
          <w:lang w:val="pt-BR"/>
        </w:rPr>
      </w:pPr>
    </w:p>
    <w:p w:rsidR="00197AA0" w:rsidRDefault="00197AA0" w:rsidP="0072382D">
      <w:pPr>
        <w:jc w:val="center"/>
        <w:rPr>
          <w:rFonts w:ascii="Arial" w:hAnsi="Arial" w:cs="Arial"/>
          <w:b/>
          <w:sz w:val="26"/>
          <w:szCs w:val="26"/>
          <w:lang w:val="pt-BR"/>
        </w:rPr>
      </w:pPr>
      <w:r>
        <w:rPr>
          <w:rFonts w:ascii="Arial" w:hAnsi="Arial" w:cs="Arial"/>
          <w:b/>
          <w:sz w:val="26"/>
          <w:szCs w:val="26"/>
          <w:lang w:val="pt-BR"/>
        </w:rPr>
        <w:t>VICE RECTOR ADMINISTRATIVO:</w:t>
      </w:r>
    </w:p>
    <w:p w:rsidR="00197AA0" w:rsidRDefault="00197AA0" w:rsidP="0072382D">
      <w:pPr>
        <w:jc w:val="center"/>
        <w:rPr>
          <w:rFonts w:ascii="Arial" w:hAnsi="Arial" w:cs="Arial"/>
          <w:sz w:val="26"/>
          <w:szCs w:val="26"/>
        </w:rPr>
      </w:pPr>
      <w:r>
        <w:rPr>
          <w:rFonts w:ascii="Arial" w:hAnsi="Arial" w:cs="Arial"/>
          <w:sz w:val="26"/>
          <w:szCs w:val="26"/>
        </w:rPr>
        <w:t>Licenciado Oscar Noé Navarrete</w:t>
      </w:r>
    </w:p>
    <w:p w:rsidR="00197AA0" w:rsidRDefault="00197AA0" w:rsidP="0072382D">
      <w:pPr>
        <w:jc w:val="center"/>
        <w:rPr>
          <w:rFonts w:ascii="Arial" w:hAnsi="Arial" w:cs="Arial"/>
          <w:sz w:val="26"/>
          <w:szCs w:val="26"/>
        </w:rPr>
      </w:pPr>
    </w:p>
    <w:p w:rsidR="00197AA0" w:rsidRDefault="00197AA0" w:rsidP="0072382D">
      <w:pPr>
        <w:jc w:val="center"/>
        <w:rPr>
          <w:rFonts w:ascii="Arial" w:hAnsi="Arial" w:cs="Arial"/>
          <w:b/>
          <w:sz w:val="26"/>
          <w:szCs w:val="26"/>
        </w:rPr>
      </w:pPr>
      <w:r>
        <w:rPr>
          <w:rFonts w:ascii="Arial" w:hAnsi="Arial" w:cs="Arial"/>
          <w:b/>
          <w:sz w:val="26"/>
          <w:szCs w:val="26"/>
        </w:rPr>
        <w:t>SECRETARIO GENERAL:</w:t>
      </w:r>
    </w:p>
    <w:p w:rsidR="00197AA0" w:rsidRDefault="00197AA0" w:rsidP="0072382D">
      <w:pPr>
        <w:jc w:val="center"/>
        <w:rPr>
          <w:rFonts w:ascii="Arial" w:hAnsi="Arial" w:cs="Arial"/>
          <w:sz w:val="26"/>
          <w:szCs w:val="26"/>
        </w:rPr>
      </w:pPr>
      <w:r>
        <w:rPr>
          <w:rFonts w:ascii="Arial" w:hAnsi="Arial" w:cs="Arial"/>
          <w:sz w:val="26"/>
          <w:szCs w:val="26"/>
        </w:rPr>
        <w:t>Licenciado Douglas Vladimir Alfaro Chávez</w:t>
      </w:r>
    </w:p>
    <w:p w:rsidR="00197AA0" w:rsidRDefault="00197AA0" w:rsidP="0072382D">
      <w:pPr>
        <w:jc w:val="center"/>
        <w:rPr>
          <w:rFonts w:ascii="Arial" w:hAnsi="Arial" w:cs="Arial"/>
          <w:sz w:val="26"/>
          <w:szCs w:val="26"/>
        </w:rPr>
      </w:pPr>
    </w:p>
    <w:p w:rsidR="00197AA0" w:rsidRDefault="00197AA0" w:rsidP="0072382D">
      <w:pPr>
        <w:jc w:val="center"/>
        <w:rPr>
          <w:rFonts w:ascii="Arial" w:hAnsi="Arial" w:cs="Arial"/>
          <w:b/>
          <w:sz w:val="26"/>
          <w:szCs w:val="26"/>
        </w:rPr>
      </w:pPr>
      <w:r>
        <w:rPr>
          <w:rFonts w:ascii="Arial" w:hAnsi="Arial" w:cs="Arial"/>
          <w:b/>
          <w:sz w:val="26"/>
          <w:szCs w:val="26"/>
        </w:rPr>
        <w:t>FISCAL GENERAL:</w:t>
      </w:r>
    </w:p>
    <w:p w:rsidR="00197AA0" w:rsidRDefault="00197AA0" w:rsidP="0072382D">
      <w:pPr>
        <w:jc w:val="center"/>
        <w:rPr>
          <w:rFonts w:ascii="Arial" w:hAnsi="Arial" w:cs="Arial"/>
          <w:sz w:val="26"/>
          <w:szCs w:val="26"/>
        </w:rPr>
      </w:pPr>
      <w:r>
        <w:rPr>
          <w:rFonts w:ascii="Arial" w:hAnsi="Arial" w:cs="Arial"/>
          <w:sz w:val="26"/>
          <w:szCs w:val="26"/>
        </w:rPr>
        <w:t>Doctor René Madecadel Perla</w:t>
      </w:r>
    </w:p>
    <w:p w:rsidR="00197AA0" w:rsidRDefault="00197AA0" w:rsidP="0072382D">
      <w:pPr>
        <w:jc w:val="center"/>
        <w:rPr>
          <w:rFonts w:ascii="Arial" w:hAnsi="Arial" w:cs="Arial"/>
          <w:sz w:val="26"/>
          <w:szCs w:val="26"/>
        </w:rPr>
      </w:pPr>
    </w:p>
    <w:p w:rsidR="00197AA0" w:rsidRDefault="00197AA0" w:rsidP="0072382D">
      <w:pPr>
        <w:jc w:val="center"/>
        <w:rPr>
          <w:rFonts w:ascii="Arial" w:hAnsi="Arial" w:cs="Arial"/>
          <w:b/>
          <w:sz w:val="26"/>
          <w:szCs w:val="26"/>
        </w:rPr>
      </w:pPr>
      <w:r>
        <w:rPr>
          <w:rFonts w:ascii="Arial" w:hAnsi="Arial" w:cs="Arial"/>
          <w:b/>
          <w:sz w:val="26"/>
          <w:szCs w:val="26"/>
        </w:rPr>
        <w:t>FACULTAD DE JURISPRUDENCIA Y CIENCIAS SOCIALES</w:t>
      </w:r>
    </w:p>
    <w:p w:rsidR="00197AA0" w:rsidRDefault="00197AA0" w:rsidP="0072382D">
      <w:pPr>
        <w:jc w:val="center"/>
        <w:rPr>
          <w:rFonts w:ascii="Arial" w:hAnsi="Arial" w:cs="Arial"/>
          <w:sz w:val="26"/>
          <w:szCs w:val="26"/>
        </w:rPr>
      </w:pPr>
    </w:p>
    <w:p w:rsidR="00197AA0" w:rsidRDefault="00197AA0" w:rsidP="0072382D">
      <w:pPr>
        <w:jc w:val="center"/>
        <w:rPr>
          <w:rFonts w:ascii="Arial" w:hAnsi="Arial" w:cs="Arial"/>
          <w:b/>
          <w:sz w:val="26"/>
          <w:szCs w:val="26"/>
        </w:rPr>
      </w:pPr>
      <w:r>
        <w:rPr>
          <w:rFonts w:ascii="Arial" w:hAnsi="Arial" w:cs="Arial"/>
          <w:b/>
          <w:sz w:val="26"/>
          <w:szCs w:val="26"/>
        </w:rPr>
        <w:t>DECANO:</w:t>
      </w:r>
    </w:p>
    <w:p w:rsidR="00197AA0" w:rsidRDefault="00197AA0" w:rsidP="0072382D">
      <w:pPr>
        <w:jc w:val="center"/>
        <w:rPr>
          <w:rFonts w:ascii="Arial" w:hAnsi="Arial" w:cs="Arial"/>
          <w:sz w:val="26"/>
          <w:szCs w:val="26"/>
        </w:rPr>
      </w:pPr>
      <w:r>
        <w:rPr>
          <w:rFonts w:ascii="Arial" w:hAnsi="Arial" w:cs="Arial"/>
          <w:sz w:val="26"/>
          <w:szCs w:val="26"/>
        </w:rPr>
        <w:t>Doctor José Humberto Morales</w:t>
      </w:r>
    </w:p>
    <w:p w:rsidR="00197AA0" w:rsidRDefault="00197AA0" w:rsidP="0072382D">
      <w:pPr>
        <w:jc w:val="center"/>
        <w:rPr>
          <w:rFonts w:ascii="Arial" w:hAnsi="Arial" w:cs="Arial"/>
          <w:b/>
          <w:sz w:val="26"/>
          <w:szCs w:val="26"/>
        </w:rPr>
      </w:pPr>
    </w:p>
    <w:p w:rsidR="00197AA0" w:rsidRDefault="00197AA0" w:rsidP="0072382D">
      <w:pPr>
        <w:jc w:val="center"/>
        <w:rPr>
          <w:rFonts w:ascii="Arial" w:hAnsi="Arial" w:cs="Arial"/>
          <w:b/>
          <w:sz w:val="26"/>
          <w:szCs w:val="26"/>
        </w:rPr>
      </w:pPr>
      <w:r>
        <w:rPr>
          <w:rFonts w:ascii="Arial" w:hAnsi="Arial" w:cs="Arial"/>
          <w:b/>
          <w:sz w:val="26"/>
          <w:szCs w:val="26"/>
        </w:rPr>
        <w:t>VICE  DECANO:</w:t>
      </w:r>
    </w:p>
    <w:p w:rsidR="00197AA0" w:rsidRDefault="00197AA0" w:rsidP="0072382D">
      <w:pPr>
        <w:jc w:val="center"/>
        <w:rPr>
          <w:rFonts w:ascii="Arial" w:hAnsi="Arial" w:cs="Arial"/>
          <w:sz w:val="26"/>
          <w:szCs w:val="26"/>
        </w:rPr>
      </w:pPr>
      <w:r>
        <w:rPr>
          <w:rFonts w:ascii="Arial" w:hAnsi="Arial" w:cs="Arial"/>
          <w:sz w:val="26"/>
          <w:szCs w:val="26"/>
        </w:rPr>
        <w:t>Licenciado Oscar Mauricio Duarte Granados</w:t>
      </w:r>
    </w:p>
    <w:p w:rsidR="00197AA0" w:rsidRDefault="00197AA0" w:rsidP="0072382D">
      <w:pPr>
        <w:jc w:val="center"/>
        <w:rPr>
          <w:rFonts w:ascii="Arial" w:hAnsi="Arial" w:cs="Arial"/>
          <w:b/>
          <w:sz w:val="26"/>
          <w:szCs w:val="26"/>
        </w:rPr>
      </w:pPr>
    </w:p>
    <w:p w:rsidR="00197AA0" w:rsidRDefault="00197AA0" w:rsidP="0072382D">
      <w:pPr>
        <w:jc w:val="center"/>
        <w:rPr>
          <w:rFonts w:ascii="Arial" w:hAnsi="Arial" w:cs="Arial"/>
          <w:b/>
          <w:sz w:val="26"/>
          <w:szCs w:val="26"/>
        </w:rPr>
      </w:pPr>
      <w:r>
        <w:rPr>
          <w:rFonts w:ascii="Arial" w:hAnsi="Arial" w:cs="Arial"/>
          <w:b/>
          <w:sz w:val="26"/>
          <w:szCs w:val="26"/>
        </w:rPr>
        <w:t>SECRETARIO:</w:t>
      </w:r>
    </w:p>
    <w:p w:rsidR="00197AA0" w:rsidRDefault="00197AA0" w:rsidP="0072382D">
      <w:pPr>
        <w:jc w:val="center"/>
        <w:rPr>
          <w:rFonts w:ascii="Arial" w:hAnsi="Arial" w:cs="Arial"/>
          <w:sz w:val="26"/>
          <w:szCs w:val="26"/>
        </w:rPr>
      </w:pPr>
      <w:r>
        <w:rPr>
          <w:rFonts w:ascii="Arial" w:hAnsi="Arial" w:cs="Arial"/>
          <w:sz w:val="26"/>
          <w:szCs w:val="26"/>
        </w:rPr>
        <w:t>Licenciado Francisco Alberto Granados Hernández</w:t>
      </w:r>
    </w:p>
    <w:p w:rsidR="00197AA0" w:rsidRDefault="00197AA0" w:rsidP="0072382D">
      <w:pPr>
        <w:jc w:val="center"/>
        <w:rPr>
          <w:rFonts w:ascii="Arial" w:hAnsi="Arial" w:cs="Arial"/>
          <w:sz w:val="26"/>
          <w:szCs w:val="26"/>
        </w:rPr>
      </w:pPr>
    </w:p>
    <w:p w:rsidR="00197AA0" w:rsidRDefault="00197AA0" w:rsidP="0072382D">
      <w:pPr>
        <w:jc w:val="center"/>
        <w:rPr>
          <w:rFonts w:ascii="Arial" w:hAnsi="Arial" w:cs="Arial"/>
          <w:b/>
          <w:sz w:val="26"/>
          <w:szCs w:val="26"/>
        </w:rPr>
      </w:pPr>
      <w:r>
        <w:rPr>
          <w:rFonts w:ascii="Arial" w:hAnsi="Arial" w:cs="Arial"/>
          <w:b/>
          <w:sz w:val="26"/>
          <w:szCs w:val="26"/>
        </w:rPr>
        <w:t>ESCUELA DE RELACIONES INTERNACIONALES</w:t>
      </w:r>
    </w:p>
    <w:p w:rsidR="00197AA0" w:rsidRDefault="00197AA0" w:rsidP="0072382D">
      <w:pPr>
        <w:jc w:val="center"/>
        <w:rPr>
          <w:rFonts w:ascii="Arial" w:hAnsi="Arial" w:cs="Arial"/>
          <w:sz w:val="26"/>
          <w:szCs w:val="26"/>
        </w:rPr>
      </w:pPr>
    </w:p>
    <w:p w:rsidR="00197AA0" w:rsidRDefault="00197AA0" w:rsidP="0072382D">
      <w:pPr>
        <w:jc w:val="center"/>
        <w:rPr>
          <w:rFonts w:ascii="Arial" w:hAnsi="Arial" w:cs="Arial"/>
          <w:b/>
          <w:sz w:val="26"/>
          <w:szCs w:val="26"/>
        </w:rPr>
      </w:pPr>
      <w:r>
        <w:rPr>
          <w:rFonts w:ascii="Arial" w:hAnsi="Arial" w:cs="Arial"/>
          <w:b/>
          <w:sz w:val="26"/>
          <w:szCs w:val="26"/>
        </w:rPr>
        <w:t xml:space="preserve">DIRECTOR DE  </w:t>
      </w:r>
      <w:smartTag w:uri="urn:schemas-microsoft-com:office:smarttags" w:element="PersonName">
        <w:smartTagPr>
          <w:attr w:name="ProductID" w:val="la Cultura."/>
        </w:smartTagPr>
        <w:r>
          <w:rPr>
            <w:rFonts w:ascii="Arial" w:hAnsi="Arial" w:cs="Arial"/>
            <w:b/>
            <w:sz w:val="26"/>
            <w:szCs w:val="26"/>
          </w:rPr>
          <w:t>LA ESCUELA</w:t>
        </w:r>
      </w:smartTag>
      <w:r>
        <w:rPr>
          <w:rFonts w:ascii="Arial" w:hAnsi="Arial" w:cs="Arial"/>
          <w:b/>
          <w:sz w:val="26"/>
          <w:szCs w:val="26"/>
        </w:rPr>
        <w:t>:</w:t>
      </w:r>
    </w:p>
    <w:p w:rsidR="00197AA0" w:rsidRDefault="00197AA0" w:rsidP="0072382D">
      <w:pPr>
        <w:jc w:val="center"/>
        <w:rPr>
          <w:rFonts w:ascii="Arial" w:hAnsi="Arial" w:cs="Arial"/>
          <w:sz w:val="26"/>
          <w:szCs w:val="26"/>
        </w:rPr>
      </w:pPr>
      <w:r>
        <w:rPr>
          <w:rFonts w:ascii="Arial" w:hAnsi="Arial" w:cs="Arial"/>
          <w:sz w:val="26"/>
          <w:szCs w:val="26"/>
        </w:rPr>
        <w:t>MSd Jorge Alberto Aranda</w:t>
      </w:r>
    </w:p>
    <w:p w:rsidR="00197AA0" w:rsidRDefault="00197AA0" w:rsidP="0072382D">
      <w:pPr>
        <w:jc w:val="center"/>
        <w:rPr>
          <w:rFonts w:ascii="Arial" w:hAnsi="Arial" w:cs="Arial"/>
          <w:sz w:val="26"/>
          <w:szCs w:val="26"/>
        </w:rPr>
      </w:pPr>
    </w:p>
    <w:p w:rsidR="00197AA0" w:rsidRDefault="00197AA0" w:rsidP="0072382D">
      <w:pPr>
        <w:jc w:val="center"/>
        <w:rPr>
          <w:rFonts w:ascii="Arial" w:hAnsi="Arial" w:cs="Arial"/>
          <w:b/>
          <w:sz w:val="26"/>
          <w:szCs w:val="26"/>
        </w:rPr>
      </w:pPr>
      <w:r>
        <w:rPr>
          <w:rFonts w:ascii="Arial" w:hAnsi="Arial" w:cs="Arial"/>
          <w:b/>
          <w:sz w:val="26"/>
          <w:szCs w:val="26"/>
        </w:rPr>
        <w:t>COORDINADOR DEL PROCESO DE GRADUACIÓN:</w:t>
      </w:r>
    </w:p>
    <w:p w:rsidR="00197AA0" w:rsidRDefault="00197AA0" w:rsidP="0072382D">
      <w:pPr>
        <w:jc w:val="center"/>
        <w:rPr>
          <w:rFonts w:ascii="Arial" w:hAnsi="Arial" w:cs="Arial"/>
          <w:sz w:val="26"/>
          <w:szCs w:val="26"/>
        </w:rPr>
      </w:pPr>
      <w:r>
        <w:rPr>
          <w:rFonts w:ascii="Arial" w:hAnsi="Arial" w:cs="Arial"/>
          <w:sz w:val="26"/>
          <w:szCs w:val="26"/>
        </w:rPr>
        <w:t>MRI Efraín Jovel Reyes</w:t>
      </w:r>
    </w:p>
    <w:p w:rsidR="00197AA0" w:rsidRDefault="00197AA0" w:rsidP="0072382D">
      <w:pPr>
        <w:jc w:val="center"/>
        <w:rPr>
          <w:rFonts w:ascii="Arial" w:hAnsi="Arial" w:cs="Arial"/>
          <w:b/>
          <w:sz w:val="26"/>
          <w:szCs w:val="26"/>
        </w:rPr>
      </w:pPr>
    </w:p>
    <w:p w:rsidR="00197AA0" w:rsidRDefault="00197AA0" w:rsidP="0072382D">
      <w:pPr>
        <w:jc w:val="center"/>
        <w:rPr>
          <w:rFonts w:ascii="Arial" w:hAnsi="Arial" w:cs="Arial"/>
          <w:b/>
          <w:sz w:val="26"/>
          <w:szCs w:val="26"/>
        </w:rPr>
      </w:pPr>
      <w:r>
        <w:rPr>
          <w:rFonts w:ascii="Arial" w:hAnsi="Arial" w:cs="Arial"/>
          <w:b/>
          <w:sz w:val="26"/>
          <w:szCs w:val="26"/>
        </w:rPr>
        <w:t>DIRECTORA DEL PROCESO DE GRADUACIÓN:</w:t>
      </w:r>
    </w:p>
    <w:p w:rsidR="00197AA0" w:rsidRDefault="00197AA0" w:rsidP="00312CB4">
      <w:pPr>
        <w:spacing w:line="360" w:lineRule="auto"/>
        <w:jc w:val="center"/>
        <w:rPr>
          <w:rFonts w:ascii="Arial" w:hAnsi="Arial" w:cs="Arial"/>
          <w:sz w:val="26"/>
          <w:szCs w:val="26"/>
        </w:rPr>
      </w:pPr>
      <w:r>
        <w:rPr>
          <w:rFonts w:ascii="Arial" w:hAnsi="Arial" w:cs="Arial"/>
          <w:sz w:val="26"/>
          <w:szCs w:val="26"/>
        </w:rPr>
        <w:t>Doctora Cecilia Segura de Dueñas</w:t>
      </w:r>
    </w:p>
    <w:p w:rsidR="00197AA0" w:rsidRPr="00312CB4" w:rsidRDefault="00197AA0" w:rsidP="00312CB4">
      <w:pPr>
        <w:spacing w:line="360" w:lineRule="auto"/>
        <w:jc w:val="center"/>
        <w:rPr>
          <w:rFonts w:ascii="Arial" w:hAnsi="Arial" w:cs="Arial"/>
          <w:sz w:val="26"/>
          <w:szCs w:val="26"/>
        </w:rPr>
      </w:pPr>
    </w:p>
    <w:p w:rsidR="00197AA0" w:rsidRDefault="00197AA0"/>
    <w:p w:rsidR="00197AA0" w:rsidRDefault="00197AA0"/>
    <w:p w:rsidR="00197AA0" w:rsidRDefault="00197AA0"/>
    <w:p w:rsidR="00197AA0" w:rsidRDefault="00197AA0" w:rsidP="00075EA1">
      <w:pPr>
        <w:spacing w:line="360" w:lineRule="auto"/>
        <w:jc w:val="center"/>
        <w:rPr>
          <w:rFonts w:ascii="Arial" w:hAnsi="Arial" w:cs="Arial"/>
          <w:b/>
          <w:sz w:val="22"/>
          <w:szCs w:val="22"/>
        </w:rPr>
      </w:pPr>
      <w:r w:rsidRPr="008826CB">
        <w:rPr>
          <w:rFonts w:ascii="Arial" w:hAnsi="Arial" w:cs="Arial"/>
          <w:b/>
          <w:sz w:val="22"/>
          <w:szCs w:val="22"/>
        </w:rPr>
        <w:lastRenderedPageBreak/>
        <w:t>DEDICATORIA</w:t>
      </w:r>
    </w:p>
    <w:p w:rsidR="00197AA0" w:rsidRPr="008826CB" w:rsidRDefault="00197AA0" w:rsidP="00075EA1">
      <w:pPr>
        <w:spacing w:line="360" w:lineRule="auto"/>
        <w:jc w:val="center"/>
        <w:rPr>
          <w:rFonts w:ascii="Arial" w:hAnsi="Arial" w:cs="Arial"/>
          <w:b/>
          <w:sz w:val="22"/>
          <w:szCs w:val="22"/>
        </w:rPr>
      </w:pPr>
    </w:p>
    <w:p w:rsidR="00197AA0" w:rsidRPr="008826CB" w:rsidRDefault="00197AA0" w:rsidP="00075EA1">
      <w:pPr>
        <w:spacing w:line="360" w:lineRule="auto"/>
        <w:ind w:firstLine="567"/>
        <w:jc w:val="both"/>
        <w:rPr>
          <w:rFonts w:ascii="Arial" w:hAnsi="Arial" w:cs="Arial"/>
          <w:sz w:val="22"/>
          <w:szCs w:val="22"/>
        </w:rPr>
      </w:pPr>
      <w:r w:rsidRPr="008826CB">
        <w:rPr>
          <w:rFonts w:ascii="Arial" w:hAnsi="Arial" w:cs="Arial"/>
          <w:sz w:val="22"/>
          <w:szCs w:val="22"/>
        </w:rPr>
        <w:t>Con todo mi amor dedico estos años de esfuerzo a mi padre y a mi madre, doy gracias a Dios por tenerlos llenos de vida y cederme la oportunidad de compartir con ellos este momento de felicidad. A mi familia y a todas las personas que me han apoyado a lo largo de mi vida, que me han demostrado su cariño y apoyo incondicional, personas muy importantes en mi vida que hicieron posible este éxito.</w:t>
      </w:r>
    </w:p>
    <w:p w:rsidR="00197AA0" w:rsidRDefault="00197AA0" w:rsidP="00075EA1">
      <w:pPr>
        <w:spacing w:line="360" w:lineRule="auto"/>
        <w:jc w:val="both"/>
        <w:rPr>
          <w:rFonts w:ascii="Arial" w:hAnsi="Arial" w:cs="Arial"/>
          <w:sz w:val="22"/>
          <w:szCs w:val="22"/>
        </w:rPr>
      </w:pPr>
    </w:p>
    <w:p w:rsidR="00197AA0" w:rsidRDefault="00197AA0" w:rsidP="00075EA1">
      <w:pPr>
        <w:spacing w:line="360" w:lineRule="auto"/>
        <w:jc w:val="center"/>
        <w:rPr>
          <w:rFonts w:ascii="Arial" w:hAnsi="Arial" w:cs="Arial"/>
          <w:b/>
          <w:sz w:val="22"/>
          <w:szCs w:val="22"/>
        </w:rPr>
      </w:pPr>
      <w:r w:rsidRPr="008826CB">
        <w:rPr>
          <w:rFonts w:ascii="Arial" w:hAnsi="Arial" w:cs="Arial"/>
          <w:b/>
          <w:sz w:val="22"/>
          <w:szCs w:val="22"/>
        </w:rPr>
        <w:t>AGRADECIMIENTO</w:t>
      </w:r>
      <w:r>
        <w:rPr>
          <w:rFonts w:ascii="Arial" w:hAnsi="Arial" w:cs="Arial"/>
          <w:b/>
          <w:sz w:val="22"/>
          <w:szCs w:val="22"/>
        </w:rPr>
        <w:t>S</w:t>
      </w:r>
    </w:p>
    <w:p w:rsidR="00197AA0" w:rsidRPr="008826CB" w:rsidRDefault="00197AA0" w:rsidP="00075EA1">
      <w:pPr>
        <w:spacing w:line="360" w:lineRule="auto"/>
        <w:jc w:val="center"/>
        <w:rPr>
          <w:rFonts w:ascii="Arial" w:hAnsi="Arial" w:cs="Arial"/>
          <w:b/>
          <w:sz w:val="22"/>
          <w:szCs w:val="22"/>
        </w:rPr>
      </w:pPr>
    </w:p>
    <w:p w:rsidR="00197AA0" w:rsidRDefault="00197AA0" w:rsidP="00075EA1">
      <w:pPr>
        <w:spacing w:line="360" w:lineRule="auto"/>
        <w:ind w:firstLine="567"/>
        <w:jc w:val="both"/>
        <w:rPr>
          <w:rFonts w:ascii="Arial" w:hAnsi="Arial" w:cs="Arial"/>
          <w:sz w:val="22"/>
          <w:szCs w:val="22"/>
        </w:rPr>
      </w:pPr>
      <w:r w:rsidRPr="008826CB">
        <w:rPr>
          <w:rFonts w:ascii="Arial" w:hAnsi="Arial" w:cs="Arial"/>
          <w:sz w:val="22"/>
          <w:szCs w:val="22"/>
        </w:rPr>
        <w:t xml:space="preserve">Al finalizar un trabajo tan arduo y lleno de dificultades como el desarrollo de una tesis, debo agradecer de manera especial y sincera a Dios, principalmente porque ha estado a mi lado en cada paso que doy en el difícil camino de la vida, por fortalecer mi corazón e  iluminar mi mente y haberme guiado hasta este momento, haciendo posible la culminación de una etapa más en mi vida. </w:t>
      </w:r>
    </w:p>
    <w:p w:rsidR="00197AA0" w:rsidRPr="008826CB" w:rsidRDefault="00197AA0" w:rsidP="00075EA1">
      <w:pPr>
        <w:spacing w:line="360" w:lineRule="auto"/>
        <w:ind w:firstLine="567"/>
        <w:jc w:val="both"/>
        <w:rPr>
          <w:rFonts w:ascii="Arial" w:hAnsi="Arial" w:cs="Arial"/>
          <w:sz w:val="22"/>
          <w:szCs w:val="22"/>
        </w:rPr>
      </w:pPr>
    </w:p>
    <w:p w:rsidR="00197AA0" w:rsidRDefault="00197AA0" w:rsidP="00075EA1">
      <w:pPr>
        <w:spacing w:line="360" w:lineRule="auto"/>
        <w:ind w:firstLine="567"/>
        <w:jc w:val="both"/>
        <w:rPr>
          <w:rFonts w:ascii="Arial" w:hAnsi="Arial" w:cs="Arial"/>
          <w:sz w:val="22"/>
          <w:szCs w:val="22"/>
        </w:rPr>
      </w:pPr>
      <w:r w:rsidRPr="008826CB">
        <w:rPr>
          <w:rFonts w:ascii="Arial" w:hAnsi="Arial" w:cs="Arial"/>
          <w:sz w:val="22"/>
          <w:szCs w:val="22"/>
        </w:rPr>
        <w:t xml:space="preserve">Sin duda los mayores agradecimientos serán siempre para mis padres, por su ejemplo de lucha incansable, de honestidad, por su comprensión y ayuda en momentos difíciles, para ellos está dedicado este trabajo de graduación, porque me han enseñado a encarar las adversidades sin desfallecer en el intento, me han dado todo lo que soy como persona, valores, principios, perseverancia y mucho empeño, todo ello con una gran dosis de amor y esfuerzo. No se podría calcular el apoyo incondicional que me han brindado a lo largo de mi vida, por esto y muchas otras cosas más los amo mucho. </w:t>
      </w:r>
    </w:p>
    <w:p w:rsidR="00197AA0" w:rsidRPr="008826CB" w:rsidRDefault="00197AA0" w:rsidP="00075EA1">
      <w:pPr>
        <w:spacing w:line="360" w:lineRule="auto"/>
        <w:ind w:firstLine="567"/>
        <w:jc w:val="both"/>
        <w:rPr>
          <w:rFonts w:ascii="Arial" w:hAnsi="Arial" w:cs="Arial"/>
          <w:sz w:val="22"/>
          <w:szCs w:val="22"/>
        </w:rPr>
      </w:pPr>
    </w:p>
    <w:p w:rsidR="00197AA0" w:rsidRPr="00C0224B" w:rsidRDefault="00197AA0" w:rsidP="00075EA1">
      <w:pPr>
        <w:spacing w:line="360" w:lineRule="auto"/>
        <w:ind w:firstLine="567"/>
        <w:jc w:val="both"/>
        <w:rPr>
          <w:rFonts w:ascii="Arial" w:hAnsi="Arial" w:cs="Arial"/>
          <w:sz w:val="22"/>
          <w:szCs w:val="22"/>
        </w:rPr>
      </w:pPr>
      <w:r w:rsidRPr="008826CB">
        <w:rPr>
          <w:rFonts w:ascii="Arial" w:hAnsi="Arial" w:cs="Arial"/>
          <w:sz w:val="22"/>
          <w:szCs w:val="22"/>
        </w:rPr>
        <w:t xml:space="preserve">A toda mi familia y a todas aquellas personas, que siempre estuvieron dándome ánimo en momentos de desesperación y angustia, a todas las personas que se cruzaron en mi camino, para hacer de mi una persona mejor cada día, a todos aquellos que me </w:t>
      </w:r>
      <w:r w:rsidRPr="00C0224B">
        <w:rPr>
          <w:rFonts w:ascii="Arial" w:hAnsi="Arial" w:cs="Arial"/>
          <w:sz w:val="22"/>
          <w:szCs w:val="22"/>
        </w:rPr>
        <w:t>ayudaron a lograr mis objetivos y que de una u otra forma participaron en la realización de esta investigación, mis sinceros agradecimientos. De esta manera puedo decir con seguridad  que los aprendizajes obtenidos en este proceso marcarán mi camino de hoy en adelante.</w:t>
      </w:r>
    </w:p>
    <w:p w:rsidR="00197AA0" w:rsidRPr="00C0224B" w:rsidRDefault="00197AA0" w:rsidP="00075EA1">
      <w:pPr>
        <w:spacing w:line="360" w:lineRule="auto"/>
        <w:jc w:val="both"/>
      </w:pPr>
    </w:p>
    <w:p w:rsidR="00197AA0" w:rsidRPr="00C0224B" w:rsidRDefault="00197AA0" w:rsidP="002E5852">
      <w:pPr>
        <w:spacing w:after="200" w:line="360" w:lineRule="auto"/>
        <w:jc w:val="right"/>
        <w:rPr>
          <w:rFonts w:ascii="Arial" w:hAnsi="Arial" w:cs="Arial"/>
          <w:sz w:val="22"/>
          <w:szCs w:val="22"/>
        </w:rPr>
      </w:pPr>
      <w:r w:rsidRPr="00C0224B">
        <w:rPr>
          <w:rFonts w:ascii="Arial" w:hAnsi="Arial" w:cs="Arial"/>
          <w:b/>
          <w:sz w:val="22"/>
          <w:szCs w:val="22"/>
        </w:rPr>
        <w:t>Karla Nathalie Pérez Valencia</w:t>
      </w:r>
    </w:p>
    <w:p w:rsidR="00197AA0" w:rsidRDefault="00197AA0" w:rsidP="00535926">
      <w:pPr>
        <w:spacing w:line="360" w:lineRule="auto"/>
        <w:jc w:val="center"/>
        <w:rPr>
          <w:rFonts w:ascii="Arial" w:hAnsi="Arial" w:cs="Arial"/>
          <w:b/>
          <w:sz w:val="22"/>
          <w:szCs w:val="22"/>
        </w:rPr>
      </w:pPr>
      <w:r w:rsidRPr="00535926">
        <w:rPr>
          <w:rFonts w:ascii="Arial" w:hAnsi="Arial" w:cs="Arial"/>
          <w:b/>
          <w:sz w:val="22"/>
          <w:szCs w:val="22"/>
        </w:rPr>
        <w:lastRenderedPageBreak/>
        <w:t>AGRADECIMIENTO</w:t>
      </w:r>
      <w:r>
        <w:rPr>
          <w:rFonts w:ascii="Arial" w:hAnsi="Arial" w:cs="Arial"/>
          <w:b/>
          <w:sz w:val="22"/>
          <w:szCs w:val="22"/>
        </w:rPr>
        <w:t>S</w:t>
      </w:r>
    </w:p>
    <w:p w:rsidR="00197AA0" w:rsidRDefault="00197AA0" w:rsidP="00535926">
      <w:pPr>
        <w:spacing w:line="360" w:lineRule="auto"/>
        <w:jc w:val="center"/>
        <w:rPr>
          <w:rFonts w:ascii="Arial" w:hAnsi="Arial" w:cs="Arial"/>
          <w:b/>
          <w:sz w:val="22"/>
          <w:szCs w:val="22"/>
        </w:rPr>
      </w:pPr>
    </w:p>
    <w:p w:rsidR="00197AA0" w:rsidRPr="000C4E67" w:rsidRDefault="00197AA0" w:rsidP="000C4E67">
      <w:pPr>
        <w:spacing w:line="360" w:lineRule="auto"/>
        <w:ind w:firstLine="567"/>
        <w:jc w:val="both"/>
        <w:rPr>
          <w:rFonts w:ascii="Arial" w:hAnsi="Arial" w:cs="Arial"/>
          <w:sz w:val="22"/>
          <w:szCs w:val="22"/>
        </w:rPr>
      </w:pPr>
      <w:r w:rsidRPr="000C4E67">
        <w:rPr>
          <w:rFonts w:ascii="Arial" w:hAnsi="Arial" w:cs="Arial"/>
          <w:sz w:val="22"/>
          <w:szCs w:val="22"/>
        </w:rPr>
        <w:t>Quiero dar muchas gracias antes que nada a Dios, por haberme dado la vida, salud, oportunidad y la fortaleza para haber realizado y terminado de manera muy exitosa mi trabajo de graduación, ya que considero que a pesar del esfuerzo humano que uno como persona pueda desempeñar, no es absolutamente nada sin la ayuda del pilar que representa Dios en mi vida.</w:t>
      </w:r>
    </w:p>
    <w:p w:rsidR="00197AA0" w:rsidRPr="000C4E67" w:rsidRDefault="00197AA0" w:rsidP="000C4E67">
      <w:pPr>
        <w:ind w:firstLine="567"/>
        <w:rPr>
          <w:rFonts w:ascii="Arial" w:hAnsi="Arial" w:cs="Arial"/>
          <w:sz w:val="22"/>
          <w:szCs w:val="22"/>
        </w:rPr>
      </w:pPr>
    </w:p>
    <w:p w:rsidR="00197AA0" w:rsidRPr="000C4E67" w:rsidRDefault="00197AA0" w:rsidP="000C4E67">
      <w:pPr>
        <w:ind w:firstLine="567"/>
        <w:rPr>
          <w:rFonts w:ascii="Arial" w:hAnsi="Arial" w:cs="Arial"/>
          <w:sz w:val="22"/>
          <w:szCs w:val="22"/>
        </w:rPr>
      </w:pPr>
    </w:p>
    <w:p w:rsidR="00197AA0" w:rsidRDefault="00197AA0" w:rsidP="000C4E67">
      <w:pPr>
        <w:spacing w:line="360" w:lineRule="auto"/>
        <w:ind w:firstLine="567"/>
        <w:jc w:val="both"/>
        <w:rPr>
          <w:rFonts w:ascii="Arial" w:hAnsi="Arial" w:cs="Arial"/>
          <w:sz w:val="22"/>
          <w:szCs w:val="22"/>
        </w:rPr>
      </w:pPr>
      <w:r>
        <w:rPr>
          <w:rFonts w:ascii="Arial" w:hAnsi="Arial" w:cs="Arial"/>
          <w:sz w:val="22"/>
          <w:szCs w:val="22"/>
        </w:rPr>
        <w:t>Q</w:t>
      </w:r>
      <w:r w:rsidRPr="000C4E67">
        <w:rPr>
          <w:rFonts w:ascii="Arial" w:hAnsi="Arial" w:cs="Arial"/>
          <w:sz w:val="22"/>
          <w:szCs w:val="22"/>
        </w:rPr>
        <w:t>uiero agradecer enormemente todo el apoyo incondicional que siempre me ha br</w:t>
      </w:r>
      <w:r>
        <w:rPr>
          <w:rFonts w:ascii="Arial" w:hAnsi="Arial" w:cs="Arial"/>
          <w:sz w:val="22"/>
          <w:szCs w:val="22"/>
        </w:rPr>
        <w:t>indado mi familia, no sólo en el desarrollo de la presente investigación, sino desde que era un bebé ya que si ellos no hubiesen estado a mi lado, no estaría donde estoy hoy actualmente. Es por este motivo que lo menos que puedo hacer es decirles gracias a mi padre ya que a pesar de los muchos obstáculos que vivimos juntos, los logramos superar. A mi madre que siempre estuvo conmigo en los buenos y duros momentos de la vida, dándome esperanza y consuelo, moldeando y fortaleciendo mi personalidad para ser un mejor hombre en todos los aspectos y finalmente a mi hermano ya que con su propia manera de ser, sabía por los momentos difíciles que atravesé para poder llegar hasta estas instancias. Es por lo tanto que muchas gracias a mi familia.</w:t>
      </w:r>
    </w:p>
    <w:p w:rsidR="00197AA0" w:rsidRDefault="00197AA0" w:rsidP="000C4E67">
      <w:pPr>
        <w:spacing w:line="360" w:lineRule="auto"/>
        <w:ind w:firstLine="567"/>
        <w:jc w:val="both"/>
        <w:rPr>
          <w:rFonts w:ascii="Arial" w:hAnsi="Arial" w:cs="Arial"/>
          <w:sz w:val="22"/>
          <w:szCs w:val="22"/>
        </w:rPr>
      </w:pPr>
    </w:p>
    <w:p w:rsidR="00197AA0" w:rsidRDefault="00197AA0" w:rsidP="000C4E67">
      <w:pPr>
        <w:spacing w:line="360" w:lineRule="auto"/>
        <w:ind w:firstLine="567"/>
        <w:jc w:val="both"/>
        <w:rPr>
          <w:rFonts w:ascii="Arial" w:hAnsi="Arial" w:cs="Arial"/>
          <w:sz w:val="22"/>
          <w:szCs w:val="22"/>
        </w:rPr>
      </w:pPr>
      <w:r>
        <w:rPr>
          <w:rFonts w:ascii="Arial" w:hAnsi="Arial" w:cs="Arial"/>
          <w:sz w:val="22"/>
          <w:szCs w:val="22"/>
        </w:rPr>
        <w:t>A todos mis amigos que me dieron ánimo para luchar y vencer cualquier tipo de adversidad. Quiero agradecer de manera muy especial a dos familias súper lindas; familia Rodríguez Offman y familia Pérez Valencia; que siempre les estaré agradecido por tantas cosas que hicieron por mi persona, no saben cuánto se los agradezco.</w:t>
      </w:r>
    </w:p>
    <w:p w:rsidR="00197AA0" w:rsidRDefault="00197AA0" w:rsidP="000C4E67">
      <w:pPr>
        <w:spacing w:line="360" w:lineRule="auto"/>
        <w:ind w:firstLine="567"/>
        <w:jc w:val="both"/>
        <w:rPr>
          <w:rFonts w:ascii="Arial" w:hAnsi="Arial" w:cs="Arial"/>
          <w:sz w:val="22"/>
          <w:szCs w:val="22"/>
        </w:rPr>
      </w:pPr>
    </w:p>
    <w:p w:rsidR="00197AA0" w:rsidRDefault="00197AA0" w:rsidP="000C4E67">
      <w:pPr>
        <w:spacing w:line="360" w:lineRule="auto"/>
        <w:ind w:firstLine="567"/>
        <w:jc w:val="both"/>
        <w:rPr>
          <w:rFonts w:ascii="Arial" w:hAnsi="Arial" w:cs="Arial"/>
          <w:sz w:val="22"/>
          <w:szCs w:val="22"/>
        </w:rPr>
      </w:pPr>
      <w:r>
        <w:rPr>
          <w:rFonts w:ascii="Arial" w:hAnsi="Arial" w:cs="Arial"/>
          <w:sz w:val="22"/>
          <w:szCs w:val="22"/>
        </w:rPr>
        <w:t>Muchas gracias doctora Dueñas por toda su dedicación, atención, que siempre tuvo con nosotros como grupo asesorado. Admiro mucha su profesionalidad y responsabilidad, su ética como catedrática y como ser humano. Me siento muy agradecido con Dios por haber permitido que usted fuese nuestra asesora. Le deseo muchos éxitos en todas las facetas de su vida.</w:t>
      </w:r>
    </w:p>
    <w:p w:rsidR="00197AA0" w:rsidRDefault="00197AA0" w:rsidP="000C4E67">
      <w:pPr>
        <w:spacing w:line="360" w:lineRule="auto"/>
        <w:ind w:firstLine="567"/>
        <w:jc w:val="both"/>
        <w:rPr>
          <w:rFonts w:ascii="Arial" w:hAnsi="Arial" w:cs="Arial"/>
          <w:sz w:val="22"/>
          <w:szCs w:val="22"/>
        </w:rPr>
      </w:pPr>
    </w:p>
    <w:p w:rsidR="00197AA0" w:rsidRDefault="00197AA0" w:rsidP="000C4E67">
      <w:pPr>
        <w:spacing w:line="360" w:lineRule="auto"/>
        <w:ind w:firstLine="567"/>
        <w:jc w:val="both"/>
        <w:rPr>
          <w:rFonts w:ascii="Arial" w:hAnsi="Arial" w:cs="Arial"/>
          <w:sz w:val="22"/>
          <w:szCs w:val="22"/>
        </w:rPr>
      </w:pPr>
    </w:p>
    <w:p w:rsidR="00197AA0" w:rsidRDefault="00197AA0" w:rsidP="00196AC9">
      <w:pPr>
        <w:spacing w:line="360" w:lineRule="auto"/>
        <w:ind w:firstLine="567"/>
        <w:jc w:val="right"/>
        <w:rPr>
          <w:rFonts w:ascii="Arial" w:hAnsi="Arial" w:cs="Arial"/>
          <w:b/>
          <w:sz w:val="22"/>
          <w:szCs w:val="22"/>
        </w:rPr>
      </w:pPr>
    </w:p>
    <w:p w:rsidR="00197AA0" w:rsidRDefault="00197AA0" w:rsidP="00196AC9">
      <w:pPr>
        <w:spacing w:line="360" w:lineRule="auto"/>
        <w:ind w:firstLine="567"/>
        <w:jc w:val="right"/>
        <w:rPr>
          <w:rFonts w:ascii="Arial" w:hAnsi="Arial" w:cs="Arial"/>
          <w:b/>
          <w:sz w:val="22"/>
          <w:szCs w:val="22"/>
        </w:rPr>
      </w:pPr>
    </w:p>
    <w:p w:rsidR="00197AA0" w:rsidRDefault="00197AA0" w:rsidP="00196AC9">
      <w:pPr>
        <w:spacing w:line="360" w:lineRule="auto"/>
        <w:ind w:firstLine="567"/>
        <w:jc w:val="right"/>
        <w:rPr>
          <w:rFonts w:ascii="Arial" w:hAnsi="Arial" w:cs="Arial"/>
          <w:b/>
          <w:sz w:val="22"/>
          <w:szCs w:val="22"/>
        </w:rPr>
      </w:pPr>
      <w:r w:rsidRPr="00196AC9">
        <w:rPr>
          <w:rFonts w:ascii="Arial" w:hAnsi="Arial" w:cs="Arial"/>
          <w:b/>
          <w:sz w:val="22"/>
          <w:szCs w:val="22"/>
        </w:rPr>
        <w:t>Julio Alejandro Hernández Quijano</w:t>
      </w:r>
    </w:p>
    <w:p w:rsidR="00197AA0" w:rsidRDefault="00197AA0" w:rsidP="006317ED">
      <w:pPr>
        <w:spacing w:line="360" w:lineRule="auto"/>
        <w:ind w:firstLine="720"/>
        <w:jc w:val="center"/>
        <w:outlineLvl w:val="0"/>
        <w:rPr>
          <w:rFonts w:ascii="Arial" w:hAnsi="Arial" w:cs="Arial"/>
          <w:b/>
          <w:sz w:val="22"/>
          <w:szCs w:val="22"/>
        </w:rPr>
      </w:pPr>
      <w:r w:rsidRPr="006317ED">
        <w:rPr>
          <w:rFonts w:ascii="Arial" w:hAnsi="Arial" w:cs="Arial"/>
          <w:b/>
          <w:sz w:val="22"/>
          <w:szCs w:val="22"/>
        </w:rPr>
        <w:lastRenderedPageBreak/>
        <w:t>AGRADECIMIENTO</w:t>
      </w:r>
      <w:r>
        <w:rPr>
          <w:rFonts w:ascii="Arial" w:hAnsi="Arial" w:cs="Arial"/>
          <w:b/>
          <w:sz w:val="22"/>
          <w:szCs w:val="22"/>
        </w:rPr>
        <w:t>S</w:t>
      </w:r>
    </w:p>
    <w:p w:rsidR="00197AA0" w:rsidRPr="006317ED" w:rsidRDefault="00197AA0" w:rsidP="006317ED">
      <w:pPr>
        <w:spacing w:line="360" w:lineRule="auto"/>
        <w:ind w:firstLine="720"/>
        <w:jc w:val="center"/>
        <w:outlineLvl w:val="0"/>
        <w:rPr>
          <w:rFonts w:ascii="Arial" w:hAnsi="Arial" w:cs="Arial"/>
          <w:b/>
          <w:sz w:val="22"/>
          <w:szCs w:val="22"/>
        </w:rPr>
      </w:pPr>
    </w:p>
    <w:p w:rsidR="00197AA0" w:rsidRPr="00962383" w:rsidRDefault="00197AA0" w:rsidP="00196AC9">
      <w:pPr>
        <w:spacing w:line="360" w:lineRule="auto"/>
        <w:ind w:firstLine="720"/>
        <w:jc w:val="both"/>
        <w:outlineLvl w:val="0"/>
        <w:rPr>
          <w:rFonts w:ascii="Arial" w:hAnsi="Arial" w:cs="Arial"/>
          <w:sz w:val="22"/>
          <w:szCs w:val="22"/>
        </w:rPr>
      </w:pPr>
      <w:r w:rsidRPr="00962383">
        <w:rPr>
          <w:rFonts w:ascii="Arial" w:hAnsi="Arial" w:cs="Arial"/>
          <w:sz w:val="22"/>
          <w:szCs w:val="22"/>
        </w:rPr>
        <w:t>En primer lugar, le extiendo mis más grandes agradecimientos a Dios Todopoderoso por brindarme vida para poder realizar mis metas, y culminar esta etapa de mi carrera.</w:t>
      </w:r>
    </w:p>
    <w:p w:rsidR="00197AA0" w:rsidRPr="00962383" w:rsidRDefault="00197AA0" w:rsidP="00196AC9">
      <w:pPr>
        <w:spacing w:line="360" w:lineRule="auto"/>
        <w:jc w:val="both"/>
        <w:rPr>
          <w:rFonts w:ascii="Arial" w:hAnsi="Arial" w:cs="Arial"/>
          <w:sz w:val="22"/>
          <w:szCs w:val="22"/>
        </w:rPr>
      </w:pPr>
    </w:p>
    <w:p w:rsidR="00197AA0" w:rsidRDefault="00197AA0" w:rsidP="00196AC9">
      <w:pPr>
        <w:spacing w:line="360" w:lineRule="auto"/>
        <w:ind w:firstLine="720"/>
        <w:jc w:val="both"/>
        <w:rPr>
          <w:rFonts w:ascii="Arial" w:hAnsi="Arial" w:cs="Arial"/>
          <w:sz w:val="22"/>
          <w:szCs w:val="22"/>
        </w:rPr>
      </w:pPr>
      <w:r w:rsidRPr="00962383">
        <w:rPr>
          <w:rFonts w:ascii="Arial" w:hAnsi="Arial" w:cs="Arial"/>
          <w:sz w:val="22"/>
          <w:szCs w:val="22"/>
        </w:rPr>
        <w:t xml:space="preserve">A mis padres, </w:t>
      </w:r>
      <w:r>
        <w:rPr>
          <w:rFonts w:ascii="Arial" w:hAnsi="Arial" w:cs="Arial"/>
          <w:sz w:val="22"/>
          <w:szCs w:val="22"/>
        </w:rPr>
        <w:t xml:space="preserve">Flor de Luz Martínez y José Aldo Mejía, </w:t>
      </w:r>
      <w:r w:rsidRPr="00962383">
        <w:rPr>
          <w:rFonts w:ascii="Arial" w:hAnsi="Arial" w:cs="Arial"/>
          <w:sz w:val="22"/>
          <w:szCs w:val="22"/>
        </w:rPr>
        <w:t xml:space="preserve">que han sido los que me han apoyado desde mi infancia, dos </w:t>
      </w:r>
      <w:r w:rsidRPr="00962383">
        <w:rPr>
          <w:rFonts w:ascii="Arial" w:hAnsi="Arial" w:cs="Arial"/>
          <w:sz w:val="22"/>
          <w:szCs w:val="22"/>
          <w:lang w:val="es-ES_tradnl"/>
        </w:rPr>
        <w:t>personas que me han dado vida, nombre, sustento y felicidad</w:t>
      </w:r>
      <w:r>
        <w:rPr>
          <w:rFonts w:ascii="Arial" w:hAnsi="Arial" w:cs="Arial"/>
          <w:sz w:val="22"/>
          <w:szCs w:val="22"/>
          <w:lang w:val="es-ES_tradnl"/>
        </w:rPr>
        <w:t>; aspectos</w:t>
      </w:r>
      <w:r w:rsidRPr="00962383">
        <w:rPr>
          <w:rFonts w:ascii="Arial" w:hAnsi="Arial" w:cs="Arial"/>
          <w:sz w:val="22"/>
          <w:szCs w:val="22"/>
          <w:lang w:val="es-ES_tradnl"/>
        </w:rPr>
        <w:t xml:space="preserve"> fundamental</w:t>
      </w:r>
      <w:r>
        <w:rPr>
          <w:rFonts w:ascii="Arial" w:hAnsi="Arial" w:cs="Arial"/>
          <w:sz w:val="22"/>
          <w:szCs w:val="22"/>
          <w:lang w:val="es-ES_tradnl"/>
        </w:rPr>
        <w:t>es</w:t>
      </w:r>
      <w:r w:rsidRPr="00962383">
        <w:rPr>
          <w:rFonts w:ascii="Arial" w:hAnsi="Arial" w:cs="Arial"/>
          <w:sz w:val="22"/>
          <w:szCs w:val="22"/>
          <w:lang w:val="es-ES_tradnl"/>
        </w:rPr>
        <w:t xml:space="preserve"> dentro de mi forjamiento diario, tanto profesional y </w:t>
      </w:r>
      <w:r>
        <w:rPr>
          <w:rFonts w:ascii="Arial" w:hAnsi="Arial" w:cs="Arial"/>
          <w:sz w:val="22"/>
          <w:szCs w:val="22"/>
          <w:lang w:val="es-ES_tradnl"/>
        </w:rPr>
        <w:t>personal</w:t>
      </w:r>
      <w:r w:rsidRPr="00962383">
        <w:rPr>
          <w:rFonts w:ascii="Arial" w:hAnsi="Arial" w:cs="Arial"/>
          <w:sz w:val="22"/>
          <w:szCs w:val="22"/>
          <w:lang w:val="es-ES_tradnl"/>
        </w:rPr>
        <w:t xml:space="preserve">. </w:t>
      </w:r>
      <w:r>
        <w:rPr>
          <w:rFonts w:ascii="Arial" w:hAnsi="Arial" w:cs="Arial"/>
          <w:sz w:val="22"/>
          <w:szCs w:val="22"/>
          <w:lang w:val="es-ES_tradnl"/>
        </w:rPr>
        <w:t xml:space="preserve">Les agradezco por cada esfuerzo en corregirme y orientarme por la senda del bien. </w:t>
      </w:r>
      <w:r>
        <w:rPr>
          <w:rFonts w:ascii="Arial" w:hAnsi="Arial" w:cs="Arial"/>
          <w:sz w:val="22"/>
          <w:szCs w:val="22"/>
        </w:rPr>
        <w:t>Madre, con el corazón en la mano y con un fuerte abrazo te digo que te amo infinitamente y espero poder pasar muchos años compartiendo triunfos como este.</w:t>
      </w:r>
    </w:p>
    <w:p w:rsidR="00197AA0" w:rsidRDefault="00197AA0" w:rsidP="00196AC9">
      <w:pPr>
        <w:spacing w:line="360" w:lineRule="auto"/>
        <w:jc w:val="both"/>
        <w:rPr>
          <w:rFonts w:ascii="Arial" w:hAnsi="Arial" w:cs="Arial"/>
          <w:sz w:val="22"/>
          <w:szCs w:val="22"/>
        </w:rPr>
      </w:pPr>
    </w:p>
    <w:p w:rsidR="00197AA0" w:rsidRDefault="00197AA0" w:rsidP="00196AC9">
      <w:pPr>
        <w:spacing w:line="360" w:lineRule="auto"/>
        <w:ind w:firstLine="720"/>
        <w:jc w:val="both"/>
        <w:rPr>
          <w:rFonts w:ascii="Arial" w:hAnsi="Arial" w:cs="Arial"/>
          <w:sz w:val="22"/>
          <w:szCs w:val="22"/>
          <w:lang w:val="es-ES_tradnl"/>
        </w:rPr>
      </w:pPr>
      <w:r>
        <w:rPr>
          <w:rFonts w:ascii="Arial" w:hAnsi="Arial" w:cs="Arial"/>
          <w:sz w:val="22"/>
          <w:szCs w:val="22"/>
        </w:rPr>
        <w:t xml:space="preserve">A mi único hermano Osiris, que me ha apoyado siempre, gracias por compartir y ayudarme. </w:t>
      </w:r>
      <w:r w:rsidRPr="001128EE">
        <w:rPr>
          <w:rFonts w:ascii="Arial" w:hAnsi="Arial" w:cs="Arial"/>
          <w:sz w:val="22"/>
          <w:szCs w:val="22"/>
          <w:lang w:val="es-ES_tradnl"/>
        </w:rPr>
        <w:t>Tu apoyo incondicional me ha fortalecido y ha hecho que día a día</w:t>
      </w:r>
      <w:r>
        <w:rPr>
          <w:rFonts w:ascii="Arial" w:hAnsi="Arial" w:cs="Arial"/>
          <w:sz w:val="22"/>
          <w:szCs w:val="22"/>
          <w:lang w:val="es-ES_tradnl"/>
        </w:rPr>
        <w:t xml:space="preserve"> sepa que cuento contigo, como cuentas conmigo, te quiero. </w:t>
      </w:r>
    </w:p>
    <w:p w:rsidR="00197AA0" w:rsidRDefault="00197AA0" w:rsidP="00196AC9">
      <w:pPr>
        <w:spacing w:line="360" w:lineRule="auto"/>
        <w:jc w:val="both"/>
        <w:rPr>
          <w:rFonts w:ascii="Arial" w:hAnsi="Arial" w:cs="Arial"/>
          <w:sz w:val="22"/>
          <w:szCs w:val="22"/>
          <w:lang w:val="es-ES_tradnl"/>
        </w:rPr>
      </w:pPr>
    </w:p>
    <w:p w:rsidR="00197AA0" w:rsidRDefault="00197AA0" w:rsidP="00196AC9">
      <w:pPr>
        <w:spacing w:line="360" w:lineRule="auto"/>
        <w:ind w:firstLine="720"/>
        <w:jc w:val="both"/>
        <w:rPr>
          <w:rFonts w:ascii="Arial" w:hAnsi="Arial" w:cs="Arial"/>
          <w:sz w:val="22"/>
          <w:szCs w:val="22"/>
          <w:lang w:val="es-ES_tradnl"/>
        </w:rPr>
      </w:pPr>
      <w:r>
        <w:rPr>
          <w:rFonts w:ascii="Arial" w:hAnsi="Arial" w:cs="Arial"/>
          <w:sz w:val="22"/>
          <w:szCs w:val="22"/>
          <w:lang w:val="es-ES_tradnl"/>
        </w:rPr>
        <w:t>A mi novia, que me ha brindado su amor, dedicación, paciencia y  apoyo, gracias te agradezco tanto por darme ánimos en momentos de flaqueza, con voz de ternura y regaño has forjado en mí una persona que se levanta siempre luego de haber tropezado, gracias por todo el amor y a</w:t>
      </w:r>
      <w:bookmarkStart w:id="0" w:name="_GoBack"/>
      <w:bookmarkEnd w:id="0"/>
      <w:r>
        <w:rPr>
          <w:rFonts w:ascii="Arial" w:hAnsi="Arial" w:cs="Arial"/>
          <w:sz w:val="22"/>
          <w:szCs w:val="22"/>
          <w:lang w:val="es-ES_tradnl"/>
        </w:rPr>
        <w:t>mistad que prometo conservarlo siempre, te amo, eres mi aliciente.</w:t>
      </w:r>
    </w:p>
    <w:p w:rsidR="00197AA0" w:rsidRDefault="00197AA0" w:rsidP="00196AC9">
      <w:pPr>
        <w:spacing w:line="360" w:lineRule="auto"/>
        <w:jc w:val="both"/>
        <w:rPr>
          <w:rFonts w:ascii="Arial" w:hAnsi="Arial" w:cs="Arial"/>
          <w:sz w:val="22"/>
          <w:szCs w:val="22"/>
          <w:lang w:val="es-ES_tradnl"/>
        </w:rPr>
      </w:pPr>
    </w:p>
    <w:p w:rsidR="00197AA0" w:rsidRDefault="00197AA0" w:rsidP="00196AC9">
      <w:pPr>
        <w:spacing w:line="360" w:lineRule="auto"/>
        <w:ind w:firstLine="720"/>
        <w:jc w:val="both"/>
        <w:rPr>
          <w:rFonts w:ascii="Arial" w:hAnsi="Arial" w:cs="Arial"/>
          <w:sz w:val="22"/>
          <w:szCs w:val="22"/>
          <w:lang w:val="es-ES_tradnl"/>
        </w:rPr>
      </w:pPr>
      <w:r>
        <w:rPr>
          <w:rFonts w:ascii="Arial" w:hAnsi="Arial" w:cs="Arial"/>
          <w:sz w:val="22"/>
          <w:szCs w:val="22"/>
        </w:rPr>
        <w:t xml:space="preserve">A mis amigos y futuros colegas, Eduardo y Fernando que me han brindado su amistad, </w:t>
      </w:r>
      <w:r w:rsidRPr="00A86696">
        <w:rPr>
          <w:rFonts w:ascii="Arial" w:hAnsi="Arial" w:cs="Arial"/>
          <w:sz w:val="22"/>
          <w:szCs w:val="22"/>
          <w:lang w:val="es-ES_tradnl"/>
        </w:rPr>
        <w:t>por creer en mí</w:t>
      </w:r>
      <w:r>
        <w:rPr>
          <w:rFonts w:ascii="Arial" w:hAnsi="Arial" w:cs="Arial"/>
          <w:sz w:val="22"/>
          <w:szCs w:val="22"/>
          <w:lang w:val="es-ES_tradnl"/>
        </w:rPr>
        <w:t xml:space="preserve">, </w:t>
      </w:r>
      <w:r w:rsidRPr="00A86696">
        <w:rPr>
          <w:rFonts w:ascii="Arial" w:hAnsi="Arial" w:cs="Arial"/>
          <w:sz w:val="22"/>
          <w:szCs w:val="22"/>
          <w:lang w:val="es-ES_tradnl"/>
        </w:rPr>
        <w:t xml:space="preserve">apoyarme </w:t>
      </w:r>
      <w:r>
        <w:rPr>
          <w:rFonts w:ascii="Arial" w:hAnsi="Arial" w:cs="Arial"/>
          <w:sz w:val="22"/>
          <w:szCs w:val="22"/>
          <w:lang w:val="es-ES_tradnl"/>
        </w:rPr>
        <w:t xml:space="preserve">y ayudarme </w:t>
      </w:r>
      <w:r w:rsidRPr="00A86696">
        <w:rPr>
          <w:rFonts w:ascii="Arial" w:hAnsi="Arial" w:cs="Arial"/>
          <w:sz w:val="22"/>
          <w:szCs w:val="22"/>
          <w:lang w:val="es-ES_tradnl"/>
        </w:rPr>
        <w:t xml:space="preserve">en cada paso. </w:t>
      </w:r>
      <w:r w:rsidRPr="00244903">
        <w:rPr>
          <w:rFonts w:ascii="Arial" w:hAnsi="Arial" w:cs="Arial"/>
          <w:sz w:val="22"/>
          <w:szCs w:val="22"/>
          <w:lang w:val="es-ES_tradnl"/>
        </w:rPr>
        <w:t>Ustedes han sido también parte importante</w:t>
      </w:r>
      <w:r>
        <w:rPr>
          <w:rFonts w:ascii="Arial" w:hAnsi="Arial" w:cs="Arial"/>
          <w:sz w:val="22"/>
          <w:szCs w:val="22"/>
          <w:lang w:val="es-ES_tradnl"/>
        </w:rPr>
        <w:t xml:space="preserve"> en este proceso, amigos que pese a la lejanía, siempre van a estar ahí, tendiendo la mano, hasta siempre.</w:t>
      </w:r>
    </w:p>
    <w:p w:rsidR="00197AA0" w:rsidRDefault="00197AA0" w:rsidP="00196AC9">
      <w:pPr>
        <w:spacing w:line="360" w:lineRule="auto"/>
        <w:jc w:val="both"/>
        <w:rPr>
          <w:rFonts w:ascii="Arial" w:hAnsi="Arial" w:cs="Arial"/>
          <w:sz w:val="22"/>
          <w:szCs w:val="22"/>
          <w:lang w:val="es-ES_tradnl"/>
        </w:rPr>
      </w:pPr>
    </w:p>
    <w:p w:rsidR="00197AA0" w:rsidRDefault="00197AA0" w:rsidP="00196AC9">
      <w:pPr>
        <w:spacing w:line="360" w:lineRule="auto"/>
        <w:ind w:firstLine="720"/>
        <w:jc w:val="both"/>
        <w:rPr>
          <w:rFonts w:ascii="Arial" w:hAnsi="Arial" w:cs="Arial"/>
          <w:sz w:val="22"/>
          <w:szCs w:val="22"/>
          <w:lang w:val="es-ES_tradnl"/>
        </w:rPr>
      </w:pPr>
      <w:r>
        <w:rPr>
          <w:rFonts w:ascii="Arial" w:hAnsi="Arial" w:cs="Arial"/>
          <w:sz w:val="22"/>
          <w:szCs w:val="22"/>
          <w:lang w:val="es-ES_tradnl"/>
        </w:rPr>
        <w:t>A los catedráticos que a lo largo de la carrera me han impartido sus enseñanzas.</w:t>
      </w:r>
    </w:p>
    <w:p w:rsidR="00197AA0" w:rsidRDefault="00197AA0" w:rsidP="00196AC9">
      <w:pPr>
        <w:spacing w:line="360" w:lineRule="auto"/>
        <w:jc w:val="both"/>
        <w:rPr>
          <w:rFonts w:ascii="Arial" w:hAnsi="Arial" w:cs="Arial"/>
          <w:sz w:val="22"/>
          <w:szCs w:val="22"/>
          <w:lang w:val="es-ES_tradnl"/>
        </w:rPr>
      </w:pPr>
    </w:p>
    <w:p w:rsidR="00197AA0" w:rsidRDefault="00197AA0" w:rsidP="006317ED">
      <w:pPr>
        <w:spacing w:line="360" w:lineRule="auto"/>
        <w:ind w:firstLine="720"/>
        <w:jc w:val="both"/>
        <w:rPr>
          <w:rFonts w:ascii="Arial" w:hAnsi="Arial" w:cs="Arial"/>
          <w:sz w:val="22"/>
          <w:szCs w:val="22"/>
          <w:lang w:val="es-ES_tradnl"/>
        </w:rPr>
      </w:pPr>
      <w:r>
        <w:rPr>
          <w:rFonts w:ascii="Arial" w:hAnsi="Arial" w:cs="Arial"/>
          <w:sz w:val="22"/>
          <w:szCs w:val="22"/>
          <w:lang w:val="es-ES_tradnl"/>
        </w:rPr>
        <w:t>A mis compañeros de tesis, Nathalie y Julio; por haber realizado en conjunto un excelente trabajo.</w:t>
      </w:r>
    </w:p>
    <w:p w:rsidR="00197AA0" w:rsidRDefault="00197AA0" w:rsidP="006317ED">
      <w:pPr>
        <w:spacing w:line="360" w:lineRule="auto"/>
        <w:ind w:firstLine="567"/>
        <w:jc w:val="right"/>
        <w:rPr>
          <w:rFonts w:ascii="Arial" w:hAnsi="Arial" w:cs="Arial"/>
          <w:b/>
          <w:sz w:val="22"/>
          <w:szCs w:val="22"/>
        </w:rPr>
      </w:pPr>
      <w:r>
        <w:rPr>
          <w:rFonts w:ascii="Arial" w:hAnsi="Arial" w:cs="Arial"/>
          <w:b/>
          <w:sz w:val="22"/>
          <w:szCs w:val="22"/>
        </w:rPr>
        <w:t>Aldo Salomón Mejía Martínez</w:t>
      </w:r>
    </w:p>
    <w:p w:rsidR="00197AA0" w:rsidRDefault="00197AA0" w:rsidP="00196AC9">
      <w:pPr>
        <w:spacing w:line="360" w:lineRule="auto"/>
        <w:ind w:firstLine="567"/>
        <w:jc w:val="right"/>
        <w:rPr>
          <w:rFonts w:ascii="Arial" w:hAnsi="Arial" w:cs="Arial"/>
          <w:b/>
          <w:sz w:val="22"/>
          <w:szCs w:val="22"/>
        </w:rPr>
      </w:pPr>
    </w:p>
    <w:p w:rsidR="00197AA0" w:rsidRDefault="00197AA0" w:rsidP="00CA797C">
      <w:pPr>
        <w:jc w:val="center"/>
        <w:rPr>
          <w:rFonts w:ascii="Arial" w:hAnsi="Arial" w:cs="Arial"/>
          <w:b/>
          <w:sz w:val="22"/>
          <w:szCs w:val="22"/>
        </w:rPr>
      </w:pPr>
      <w:r>
        <w:rPr>
          <w:rFonts w:ascii="Arial" w:hAnsi="Arial" w:cs="Arial"/>
          <w:b/>
          <w:sz w:val="22"/>
          <w:szCs w:val="22"/>
        </w:rPr>
        <w:lastRenderedPageBreak/>
        <w:t>Ì</w:t>
      </w:r>
      <w:r w:rsidRPr="005E7E70">
        <w:rPr>
          <w:rFonts w:ascii="Arial" w:hAnsi="Arial" w:cs="Arial"/>
          <w:b/>
          <w:sz w:val="22"/>
          <w:szCs w:val="22"/>
        </w:rPr>
        <w:t>NDICE GENERAL</w:t>
      </w:r>
    </w:p>
    <w:tbl>
      <w:tblPr>
        <w:tblW w:w="9592" w:type="dxa"/>
        <w:tblInd w:w="55" w:type="dxa"/>
        <w:tblCellMar>
          <w:left w:w="70" w:type="dxa"/>
          <w:right w:w="70" w:type="dxa"/>
        </w:tblCellMar>
        <w:tblLook w:val="00A0"/>
      </w:tblPr>
      <w:tblGrid>
        <w:gridCol w:w="5380"/>
        <w:gridCol w:w="146"/>
        <w:gridCol w:w="2720"/>
        <w:gridCol w:w="146"/>
        <w:gridCol w:w="1200"/>
      </w:tblGrid>
      <w:tr w:rsidR="00197AA0" w:rsidRPr="0022439F" w:rsidTr="009F3905">
        <w:trPr>
          <w:trHeight w:val="300"/>
        </w:trPr>
        <w:tc>
          <w:tcPr>
            <w:tcW w:w="5380" w:type="dxa"/>
            <w:tcBorders>
              <w:top w:val="nil"/>
              <w:left w:val="nil"/>
              <w:bottom w:val="nil"/>
              <w:right w:val="nil"/>
            </w:tcBorders>
            <w:noWrap/>
            <w:vAlign w:val="bottom"/>
          </w:tcPr>
          <w:p w:rsidR="00197AA0" w:rsidRDefault="00197AA0" w:rsidP="009F3905">
            <w:pPr>
              <w:rPr>
                <w:rFonts w:ascii="Arial" w:hAnsi="Arial" w:cs="Arial"/>
                <w:color w:val="000000"/>
                <w:lang w:val="es-SV" w:eastAsia="es-SV"/>
              </w:rPr>
            </w:pPr>
          </w:p>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b/>
                <w:bCs/>
                <w:color w:val="000000"/>
                <w:lang w:val="es-SV" w:eastAsia="es-SV"/>
              </w:rPr>
            </w:pPr>
            <w:r w:rsidRPr="0022439F">
              <w:rPr>
                <w:rFonts w:ascii="Arial" w:hAnsi="Arial" w:cs="Arial"/>
                <w:b/>
                <w:bCs/>
                <w:color w:val="000000"/>
                <w:sz w:val="22"/>
                <w:szCs w:val="22"/>
                <w:lang w:val="es-SV" w:eastAsia="es-SV"/>
              </w:rPr>
              <w:t>CONTENIDO</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b/>
                <w:bCs/>
                <w:color w:val="000000"/>
                <w:lang w:val="es-SV" w:eastAsia="es-SV"/>
              </w:rPr>
            </w:pPr>
            <w:r w:rsidRPr="0022439F">
              <w:rPr>
                <w:rFonts w:ascii="Arial" w:hAnsi="Arial" w:cs="Arial"/>
                <w:b/>
                <w:bCs/>
                <w:color w:val="000000"/>
                <w:sz w:val="22"/>
                <w:szCs w:val="22"/>
                <w:lang w:val="es-SV" w:eastAsia="es-SV"/>
              </w:rPr>
              <w:t>PÁG.</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D7573" w:rsidP="009F3905">
            <w:pPr>
              <w:rPr>
                <w:rFonts w:ascii="Arial" w:hAnsi="Arial" w:cs="Arial"/>
                <w:color w:val="000000"/>
                <w:lang w:val="es-SV" w:eastAsia="es-SV"/>
              </w:rPr>
            </w:pPr>
            <w:r w:rsidRPr="001D7573">
              <w:rPr>
                <w:noProof/>
                <w:lang w:val="es-ES_tradnl" w:eastAsia="es-ES_tradnl"/>
              </w:rPr>
              <w:pict>
                <v:shapetype id="_x0000_t32" coordsize="21600,21600" o:spt="32" o:oned="t" path="m,l21600,21600e" filled="f">
                  <v:path arrowok="t" fillok="f" o:connecttype="none"/>
                  <o:lock v:ext="edit" shapetype="t"/>
                </v:shapetype>
                <v:shape id="_x0000_s1027" type="#_x0000_t32" style="position:absolute;margin-left:5.75pt;margin-top:.45pt;width:448.5pt;height:0;z-index:251659264;mso-position-horizontal-relative:text;mso-position-vertical-relative:text" o:connectortype="straight" strokeweight=".71mm">
                  <v:stroke joinstyle="miter"/>
                </v:shape>
              </w:pic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b/>
                <w:bCs/>
                <w:color w:val="000000"/>
                <w:lang w:val="es-SV" w:eastAsia="es-SV"/>
              </w:rPr>
            </w:pPr>
            <w:r w:rsidRPr="0022439F">
              <w:rPr>
                <w:rFonts w:ascii="Arial" w:hAnsi="Arial" w:cs="Arial"/>
                <w:b/>
                <w:bCs/>
                <w:color w:val="000000"/>
                <w:sz w:val="22"/>
                <w:szCs w:val="22"/>
                <w:lang w:val="es-SV" w:eastAsia="es-SV"/>
              </w:rPr>
              <w:t>Acrónimos</w:t>
            </w:r>
            <w:r>
              <w:rPr>
                <w:rFonts w:ascii="Arial" w:hAnsi="Arial" w:cs="Arial"/>
                <w:b/>
                <w:bCs/>
                <w:color w:val="000000"/>
                <w:sz w:val="22"/>
                <w:szCs w:val="22"/>
                <w:lang w:val="es-SV" w:eastAsia="es-SV"/>
              </w:rPr>
              <w:t xml:space="preserve"> y Siglas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Pr>
                <w:rFonts w:ascii="Arial" w:hAnsi="Arial" w:cs="Arial"/>
                <w:color w:val="000000"/>
                <w:lang w:val="es-SV" w:eastAsia="es-SV"/>
              </w:rPr>
              <w:t>iv</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b/>
                <w:bCs/>
                <w:color w:val="000000"/>
                <w:lang w:val="es-SV" w:eastAsia="es-SV"/>
              </w:rPr>
            </w:pPr>
            <w:r w:rsidRPr="0022439F">
              <w:rPr>
                <w:rFonts w:ascii="Arial" w:hAnsi="Arial" w:cs="Arial"/>
                <w:b/>
                <w:bCs/>
                <w:color w:val="000000"/>
                <w:sz w:val="22"/>
                <w:szCs w:val="22"/>
                <w:lang w:val="es-SV" w:eastAsia="es-SV"/>
              </w:rPr>
              <w:t>Introducción</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Pr>
                <w:rFonts w:ascii="Arial" w:hAnsi="Arial" w:cs="Arial"/>
                <w:color w:val="000000"/>
                <w:sz w:val="22"/>
                <w:szCs w:val="22"/>
                <w:lang w:val="es-SV" w:eastAsia="es-SV"/>
              </w:rPr>
              <w:t>vii</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900"/>
        </w:trPr>
        <w:tc>
          <w:tcPr>
            <w:tcW w:w="5380" w:type="dxa"/>
            <w:tcBorders>
              <w:top w:val="nil"/>
              <w:left w:val="nil"/>
              <w:bottom w:val="nil"/>
              <w:right w:val="nil"/>
            </w:tcBorders>
            <w:vAlign w:val="bottom"/>
          </w:tcPr>
          <w:p w:rsidR="00197AA0" w:rsidRPr="0022439F" w:rsidRDefault="00197AA0" w:rsidP="009F3905">
            <w:pPr>
              <w:rPr>
                <w:rFonts w:ascii="Arial" w:hAnsi="Arial" w:cs="Arial"/>
                <w:b/>
                <w:bCs/>
                <w:color w:val="000000"/>
                <w:lang w:val="es-SV" w:eastAsia="es-SV"/>
              </w:rPr>
            </w:pPr>
            <w:r w:rsidRPr="0022439F">
              <w:rPr>
                <w:rFonts w:ascii="Arial" w:hAnsi="Arial" w:cs="Arial"/>
                <w:b/>
                <w:bCs/>
                <w:color w:val="000000"/>
                <w:sz w:val="22"/>
                <w:szCs w:val="22"/>
                <w:lang w:val="es-SV" w:eastAsia="es-SV"/>
              </w:rPr>
              <w:t>Capítulo I: Evolución de la regulación marítima internacional para reducir la contaminación por hi</w:t>
            </w:r>
            <w:r>
              <w:rPr>
                <w:rFonts w:ascii="Arial" w:hAnsi="Arial" w:cs="Arial"/>
                <w:b/>
                <w:bCs/>
                <w:color w:val="000000"/>
                <w:sz w:val="22"/>
                <w:szCs w:val="22"/>
                <w:lang w:val="es-SV" w:eastAsia="es-SV"/>
              </w:rPr>
              <w:t xml:space="preserve">drocarburos desde 1950 hasta </w:t>
            </w:r>
            <w:r w:rsidRPr="0022439F">
              <w:rPr>
                <w:rFonts w:ascii="Arial" w:hAnsi="Arial" w:cs="Arial"/>
                <w:b/>
                <w:bCs/>
                <w:color w:val="000000"/>
                <w:sz w:val="22"/>
                <w:szCs w:val="22"/>
                <w:lang w:val="es-SV" w:eastAsia="es-SV"/>
              </w:rPr>
              <w:t>2010</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1.1 Los grandes accidentes por hidrocarburos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2</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1.1.1 Buque Torrey Canyon</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3</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1.1.2 Buque Exxon Valdez</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Pr>
                <w:rFonts w:ascii="Arial" w:hAnsi="Arial" w:cs="Arial"/>
                <w:color w:val="000000"/>
                <w:sz w:val="22"/>
                <w:szCs w:val="22"/>
                <w:lang w:val="es-SV" w:eastAsia="es-SV"/>
              </w:rPr>
              <w:t>10</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1.1.3 Buque Erika</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17</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1.1.4 Buque Prestige</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2</w:t>
            </w:r>
            <w:r>
              <w:rPr>
                <w:rFonts w:ascii="Arial" w:hAnsi="Arial" w:cs="Arial"/>
                <w:color w:val="000000"/>
                <w:sz w:val="22"/>
                <w:szCs w:val="22"/>
                <w:lang w:val="es-SV" w:eastAsia="es-SV"/>
              </w:rPr>
              <w:t>7</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1.1.5 Buque Shen Neng 1</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3</w:t>
            </w:r>
            <w:r>
              <w:rPr>
                <w:rFonts w:ascii="Arial" w:hAnsi="Arial" w:cs="Arial"/>
                <w:color w:val="000000"/>
                <w:sz w:val="22"/>
                <w:szCs w:val="22"/>
                <w:lang w:val="es-SV" w:eastAsia="es-SV"/>
              </w:rPr>
              <w:t>5</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585"/>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1.2 Evolución de la regulación internacional en materia de seguridad marítima</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4</w:t>
            </w:r>
            <w:r>
              <w:rPr>
                <w:rFonts w:ascii="Arial" w:hAnsi="Arial" w:cs="Arial"/>
                <w:color w:val="000000"/>
                <w:sz w:val="22"/>
                <w:szCs w:val="22"/>
                <w:lang w:val="es-SV" w:eastAsia="es-SV"/>
              </w:rPr>
              <w:t>5</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1.3 Actualidad de la legislación marítima internacional</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4</w:t>
            </w:r>
            <w:r>
              <w:rPr>
                <w:rFonts w:ascii="Arial" w:hAnsi="Arial" w:cs="Arial"/>
                <w:color w:val="000000"/>
                <w:sz w:val="22"/>
                <w:szCs w:val="22"/>
                <w:lang w:val="es-SV" w:eastAsia="es-SV"/>
              </w:rPr>
              <w:t>8</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1.4 Conclusión</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Pr>
                <w:rFonts w:ascii="Arial" w:hAnsi="Arial" w:cs="Arial"/>
                <w:color w:val="000000"/>
                <w:sz w:val="22"/>
                <w:szCs w:val="22"/>
                <w:lang w:val="es-SV" w:eastAsia="es-SV"/>
              </w:rPr>
              <w:t>50</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600"/>
        </w:trPr>
        <w:tc>
          <w:tcPr>
            <w:tcW w:w="5380" w:type="dxa"/>
            <w:tcBorders>
              <w:top w:val="nil"/>
              <w:left w:val="nil"/>
              <w:bottom w:val="nil"/>
              <w:right w:val="nil"/>
            </w:tcBorders>
            <w:vAlign w:val="bottom"/>
          </w:tcPr>
          <w:p w:rsidR="00197AA0" w:rsidRPr="0022439F" w:rsidRDefault="00197AA0" w:rsidP="009F3905">
            <w:pPr>
              <w:rPr>
                <w:rFonts w:ascii="Arial" w:hAnsi="Arial" w:cs="Arial"/>
                <w:b/>
                <w:bCs/>
                <w:color w:val="000000"/>
                <w:lang w:val="es-SV" w:eastAsia="es-SV"/>
              </w:rPr>
            </w:pPr>
            <w:r w:rsidRPr="0022439F">
              <w:rPr>
                <w:rFonts w:ascii="Arial" w:hAnsi="Arial" w:cs="Arial"/>
                <w:b/>
                <w:bCs/>
                <w:color w:val="000000"/>
                <w:sz w:val="22"/>
                <w:szCs w:val="22"/>
                <w:lang w:val="es-SV" w:eastAsia="es-SV"/>
              </w:rPr>
              <w:t xml:space="preserve">Capítulo II: </w:t>
            </w:r>
            <w:r>
              <w:rPr>
                <w:rFonts w:ascii="Arial" w:hAnsi="Arial" w:cs="Arial"/>
                <w:b/>
                <w:bCs/>
                <w:color w:val="000000"/>
                <w:sz w:val="22"/>
                <w:szCs w:val="22"/>
                <w:lang w:val="es-SV" w:eastAsia="es-SV"/>
              </w:rPr>
              <w:t>El desarrollo portuario de El Salvador en la zona del Golfo de Fonseca</w:t>
            </w:r>
          </w:p>
        </w:tc>
        <w:tc>
          <w:tcPr>
            <w:tcW w:w="146"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5</w:t>
            </w:r>
            <w:r>
              <w:rPr>
                <w:rFonts w:ascii="Arial" w:hAnsi="Arial" w:cs="Arial"/>
                <w:color w:val="000000"/>
                <w:sz w:val="22"/>
                <w:szCs w:val="22"/>
                <w:lang w:val="es-SV" w:eastAsia="es-SV"/>
              </w:rPr>
              <w:t>2</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2.1 Generalidades sobre Puertos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5</w:t>
            </w:r>
            <w:r>
              <w:rPr>
                <w:rFonts w:ascii="Arial" w:hAnsi="Arial" w:cs="Arial"/>
                <w:color w:val="000000"/>
                <w:sz w:val="22"/>
                <w:szCs w:val="22"/>
                <w:lang w:val="es-SV" w:eastAsia="es-SV"/>
              </w:rPr>
              <w:t>3</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2.1.1 Tipología de clasificación de los puertos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5</w:t>
            </w:r>
            <w:r>
              <w:rPr>
                <w:rFonts w:ascii="Arial" w:hAnsi="Arial" w:cs="Arial"/>
                <w:color w:val="000000"/>
                <w:sz w:val="22"/>
                <w:szCs w:val="22"/>
                <w:lang w:val="es-SV" w:eastAsia="es-SV"/>
              </w:rPr>
              <w:t>5</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2.2 Historia de la actividad portuaria en El Salvador</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5</w:t>
            </w:r>
            <w:r>
              <w:rPr>
                <w:rFonts w:ascii="Arial" w:hAnsi="Arial" w:cs="Arial"/>
                <w:color w:val="000000"/>
                <w:sz w:val="22"/>
                <w:szCs w:val="22"/>
                <w:lang w:val="es-SV" w:eastAsia="es-SV"/>
              </w:rPr>
              <w:t>8</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2.2.1 Puerto de Acajutla</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Pr>
                <w:rFonts w:ascii="Arial" w:hAnsi="Arial" w:cs="Arial"/>
                <w:color w:val="000000"/>
                <w:sz w:val="22"/>
                <w:szCs w:val="22"/>
                <w:lang w:val="es-SV" w:eastAsia="es-SV"/>
              </w:rPr>
              <w:t>60</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lastRenderedPageBreak/>
              <w:t>2.2.2 Puerto de La Unión</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6</w:t>
            </w:r>
            <w:r>
              <w:rPr>
                <w:rFonts w:ascii="Arial" w:hAnsi="Arial" w:cs="Arial"/>
                <w:color w:val="000000"/>
                <w:sz w:val="22"/>
                <w:szCs w:val="22"/>
                <w:lang w:val="es-SV" w:eastAsia="es-SV"/>
              </w:rPr>
              <w:t>7</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2.3 Estado actual de la legislación marítima salvadoreña</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7</w:t>
            </w:r>
            <w:r>
              <w:rPr>
                <w:rFonts w:ascii="Arial" w:hAnsi="Arial" w:cs="Arial"/>
                <w:color w:val="000000"/>
                <w:sz w:val="22"/>
                <w:szCs w:val="22"/>
                <w:lang w:val="es-SV" w:eastAsia="es-SV"/>
              </w:rPr>
              <w:t>8</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2.3.1 Convenios adheridos por parte de El Salvador</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8</w:t>
            </w:r>
            <w:r>
              <w:rPr>
                <w:rFonts w:ascii="Arial" w:hAnsi="Arial" w:cs="Arial"/>
                <w:color w:val="000000"/>
                <w:sz w:val="22"/>
                <w:szCs w:val="22"/>
                <w:lang w:val="es-SV" w:eastAsia="es-SV"/>
              </w:rPr>
              <w:t>6</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2.4 Rol de las instituciones competentes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9</w:t>
            </w:r>
            <w:r>
              <w:rPr>
                <w:rFonts w:ascii="Arial" w:hAnsi="Arial" w:cs="Arial"/>
                <w:color w:val="000000"/>
                <w:sz w:val="22"/>
                <w:szCs w:val="22"/>
                <w:lang w:val="es-SV" w:eastAsia="es-SV"/>
              </w:rPr>
              <w:t>5</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2.4.1 AMP</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9</w:t>
            </w:r>
            <w:r>
              <w:rPr>
                <w:rFonts w:ascii="Arial" w:hAnsi="Arial" w:cs="Arial"/>
                <w:color w:val="000000"/>
                <w:sz w:val="22"/>
                <w:szCs w:val="22"/>
                <w:lang w:val="es-SV" w:eastAsia="es-SV"/>
              </w:rPr>
              <w:t>6</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2.4.2 CEPA</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9</w:t>
            </w:r>
            <w:r>
              <w:rPr>
                <w:rFonts w:ascii="Arial" w:hAnsi="Arial" w:cs="Arial"/>
                <w:color w:val="000000"/>
                <w:sz w:val="22"/>
                <w:szCs w:val="22"/>
                <w:lang w:val="es-SV" w:eastAsia="es-SV"/>
              </w:rPr>
              <w:t>9</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2.4.3 Gobierno Central</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Pr>
                <w:rFonts w:ascii="Arial" w:hAnsi="Arial" w:cs="Arial"/>
                <w:color w:val="000000"/>
                <w:sz w:val="22"/>
                <w:szCs w:val="22"/>
                <w:lang w:val="es-SV" w:eastAsia="es-SV"/>
              </w:rPr>
              <w:t>102</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2.5 Conclusión</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10</w:t>
            </w:r>
            <w:r>
              <w:rPr>
                <w:rFonts w:ascii="Arial" w:hAnsi="Arial" w:cs="Arial"/>
                <w:color w:val="000000"/>
                <w:sz w:val="22"/>
                <w:szCs w:val="22"/>
                <w:lang w:val="es-SV" w:eastAsia="es-SV"/>
              </w:rPr>
              <w:t>4</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900"/>
        </w:trPr>
        <w:tc>
          <w:tcPr>
            <w:tcW w:w="5380" w:type="dxa"/>
            <w:tcBorders>
              <w:top w:val="nil"/>
              <w:left w:val="nil"/>
              <w:bottom w:val="nil"/>
              <w:right w:val="nil"/>
            </w:tcBorders>
            <w:vAlign w:val="bottom"/>
          </w:tcPr>
          <w:p w:rsidR="00197AA0" w:rsidRPr="0022439F" w:rsidRDefault="00197AA0" w:rsidP="009F3905">
            <w:pPr>
              <w:rPr>
                <w:rFonts w:ascii="Arial" w:hAnsi="Arial" w:cs="Arial"/>
                <w:b/>
                <w:bCs/>
                <w:color w:val="000000"/>
                <w:lang w:val="es-SV" w:eastAsia="es-SV"/>
              </w:rPr>
            </w:pPr>
            <w:r w:rsidRPr="0022439F">
              <w:rPr>
                <w:rFonts w:ascii="Arial" w:hAnsi="Arial" w:cs="Arial"/>
                <w:b/>
                <w:bCs/>
                <w:color w:val="000000"/>
                <w:sz w:val="22"/>
                <w:szCs w:val="22"/>
                <w:lang w:val="es-SV" w:eastAsia="es-SV"/>
              </w:rPr>
              <w:t>Capítulo III: Perspectivas de contaminación marina por hidrocarburos en el Puerto de La Unión frente a un mayor desarrollo portuario</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10</w:t>
            </w:r>
            <w:r>
              <w:rPr>
                <w:rFonts w:ascii="Arial" w:hAnsi="Arial" w:cs="Arial"/>
                <w:color w:val="000000"/>
                <w:sz w:val="22"/>
                <w:szCs w:val="22"/>
                <w:lang w:val="es-SV" w:eastAsia="es-SV"/>
              </w:rPr>
              <w:t>6</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9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3.1 Tipos de buques que transitarán en el Puerto de La Unión y movimiento de contenedores en el primer decenio del siglo XXI</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10</w:t>
            </w:r>
            <w:r>
              <w:rPr>
                <w:rFonts w:ascii="Arial" w:hAnsi="Arial" w:cs="Arial"/>
                <w:color w:val="000000"/>
                <w:sz w:val="22"/>
                <w:szCs w:val="22"/>
                <w:lang w:val="es-SV" w:eastAsia="es-SV"/>
              </w:rPr>
              <w:t>7</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9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3.2 Derrame o vertido de hidrocarburos, consecuencias y efectos en la zona del Golfo de Fonseca ante una posible contaminación marina</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w:t>
            </w:r>
            <w:r>
              <w:rPr>
                <w:rFonts w:ascii="Arial" w:hAnsi="Arial" w:cs="Arial"/>
                <w:color w:val="000000"/>
                <w:sz w:val="22"/>
                <w:szCs w:val="22"/>
                <w:lang w:val="es-SV" w:eastAsia="es-SV"/>
              </w:rPr>
              <w:t>11</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3.2.2 Efectos de los derrames de hidrocarburos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11</w:t>
            </w:r>
            <w:r>
              <w:rPr>
                <w:rFonts w:ascii="Arial" w:hAnsi="Arial" w:cs="Arial"/>
                <w:color w:val="000000"/>
                <w:sz w:val="22"/>
                <w:szCs w:val="22"/>
                <w:lang w:val="es-SV" w:eastAsia="es-SV"/>
              </w:rPr>
              <w:t>6</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9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3.3 Capacidad real de la terminal del Puerto de La Unión para prevenir y contrarrestar una posible contaminación marina por hidrocarburos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11</w:t>
            </w:r>
            <w:r>
              <w:rPr>
                <w:rFonts w:ascii="Arial" w:hAnsi="Arial" w:cs="Arial"/>
                <w:color w:val="000000"/>
                <w:sz w:val="22"/>
                <w:szCs w:val="22"/>
                <w:lang w:val="es-SV" w:eastAsia="es-SV"/>
              </w:rPr>
              <w:t>9</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6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3.3.1 El Puerto de La Unión y el Puerto de Acajutla en materia de seguridad y protección de derrames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w:t>
            </w:r>
            <w:r>
              <w:rPr>
                <w:rFonts w:ascii="Arial" w:hAnsi="Arial" w:cs="Arial"/>
                <w:color w:val="000000"/>
                <w:sz w:val="22"/>
                <w:szCs w:val="22"/>
                <w:lang w:val="es-SV" w:eastAsia="es-SV"/>
              </w:rPr>
              <w:t>24</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9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3.3.2 La concesión del Puerto de La Unión: ¿alternativa para fortalecer los mecanismos de prevención de contaminación marina por hidrocarburo?</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12</w:t>
            </w:r>
            <w:r>
              <w:rPr>
                <w:rFonts w:ascii="Arial" w:hAnsi="Arial" w:cs="Arial"/>
                <w:color w:val="000000"/>
                <w:sz w:val="22"/>
                <w:szCs w:val="22"/>
                <w:lang w:val="es-SV" w:eastAsia="es-SV"/>
              </w:rPr>
              <w:t>7</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3.4 Conclusión</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w:t>
            </w:r>
            <w:r>
              <w:rPr>
                <w:rFonts w:ascii="Arial" w:hAnsi="Arial" w:cs="Arial"/>
                <w:color w:val="000000"/>
                <w:sz w:val="22"/>
                <w:szCs w:val="22"/>
                <w:lang w:val="es-SV" w:eastAsia="es-SV"/>
              </w:rPr>
              <w:t>32</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vAlign w:val="bottom"/>
          </w:tcPr>
          <w:p w:rsidR="00197AA0" w:rsidRPr="0022439F" w:rsidRDefault="00197AA0" w:rsidP="009F3905">
            <w:pPr>
              <w:rPr>
                <w:rFonts w:ascii="Arial" w:hAnsi="Arial" w:cs="Arial"/>
                <w:b/>
                <w:bCs/>
                <w:color w:val="000000"/>
                <w:lang w:val="es-SV" w:eastAsia="es-SV"/>
              </w:rPr>
            </w:pPr>
            <w:r w:rsidRPr="0022439F">
              <w:rPr>
                <w:rFonts w:ascii="Arial" w:hAnsi="Arial" w:cs="Arial"/>
                <w:b/>
                <w:bCs/>
                <w:color w:val="000000"/>
                <w:sz w:val="22"/>
                <w:szCs w:val="22"/>
                <w:lang w:val="es-SV" w:eastAsia="es-SV"/>
              </w:rPr>
              <w:t>Conclusiones y Recomendaciones Finales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w:t>
            </w:r>
            <w:r>
              <w:rPr>
                <w:rFonts w:ascii="Arial" w:hAnsi="Arial" w:cs="Arial"/>
                <w:color w:val="000000"/>
                <w:sz w:val="22"/>
                <w:szCs w:val="22"/>
                <w:lang w:val="es-SV" w:eastAsia="es-SV"/>
              </w:rPr>
              <w:t>34</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b/>
                <w:bCs/>
                <w:color w:val="000000"/>
                <w:lang w:val="es-SV" w:eastAsia="es-SV"/>
              </w:rPr>
            </w:pPr>
            <w:r w:rsidRPr="0022439F">
              <w:rPr>
                <w:rFonts w:ascii="Arial" w:hAnsi="Arial" w:cs="Arial"/>
                <w:b/>
                <w:bCs/>
                <w:color w:val="000000"/>
                <w:sz w:val="22"/>
                <w:szCs w:val="22"/>
                <w:lang w:val="es-SV" w:eastAsia="es-SV"/>
              </w:rPr>
              <w:t>Anexos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13</w:t>
            </w:r>
            <w:r>
              <w:rPr>
                <w:rFonts w:ascii="Arial" w:hAnsi="Arial" w:cs="Arial"/>
                <w:color w:val="000000"/>
                <w:sz w:val="22"/>
                <w:szCs w:val="22"/>
                <w:lang w:val="es-SV" w:eastAsia="es-SV"/>
              </w:rPr>
              <w:t>9</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600"/>
        </w:trPr>
        <w:tc>
          <w:tcPr>
            <w:tcW w:w="5380" w:type="dxa"/>
            <w:tcBorders>
              <w:top w:val="nil"/>
              <w:left w:val="nil"/>
              <w:bottom w:val="nil"/>
              <w:right w:val="nil"/>
            </w:tcBorders>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Anexo 1: Tamaño de los buques más reconocidos a nivel internacional</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w:t>
            </w:r>
            <w:r>
              <w:rPr>
                <w:rFonts w:ascii="Arial" w:hAnsi="Arial" w:cs="Arial"/>
                <w:color w:val="000000"/>
                <w:sz w:val="22"/>
                <w:szCs w:val="22"/>
                <w:lang w:val="es-SV" w:eastAsia="es-SV"/>
              </w:rPr>
              <w:t>40</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Anexo 2: TEU's totales movilizados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w:t>
            </w:r>
            <w:r>
              <w:rPr>
                <w:rFonts w:ascii="Arial" w:hAnsi="Arial" w:cs="Arial"/>
                <w:color w:val="000000"/>
                <w:sz w:val="22"/>
                <w:szCs w:val="22"/>
                <w:lang w:val="es-SV" w:eastAsia="es-SV"/>
              </w:rPr>
              <w:t>42</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Anexo 3: Formato de Entrevistas</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w:t>
            </w:r>
            <w:r>
              <w:rPr>
                <w:rFonts w:ascii="Arial" w:hAnsi="Arial" w:cs="Arial"/>
                <w:color w:val="000000"/>
                <w:sz w:val="22"/>
                <w:szCs w:val="22"/>
                <w:lang w:val="es-SV" w:eastAsia="es-SV"/>
              </w:rPr>
              <w:t>44</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r w:rsidRPr="0022439F">
              <w:rPr>
                <w:rFonts w:ascii="Arial" w:hAnsi="Arial" w:cs="Arial"/>
                <w:color w:val="000000"/>
                <w:sz w:val="22"/>
                <w:szCs w:val="22"/>
                <w:lang w:val="es-SV" w:eastAsia="es-SV"/>
              </w:rPr>
              <w:t>Anexo 4: Instalaciones del Puerto de La Unión</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14</w:t>
            </w:r>
            <w:r>
              <w:rPr>
                <w:rFonts w:ascii="Arial" w:hAnsi="Arial" w:cs="Arial"/>
                <w:color w:val="000000"/>
                <w:sz w:val="22"/>
                <w:szCs w:val="22"/>
                <w:lang w:val="es-SV" w:eastAsia="es-SV"/>
              </w:rPr>
              <w:t>6</w:t>
            </w: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p>
        </w:tc>
      </w:tr>
      <w:tr w:rsidR="00197AA0" w:rsidRPr="0022439F" w:rsidTr="009F3905">
        <w:trPr>
          <w:trHeight w:val="300"/>
        </w:trPr>
        <w:tc>
          <w:tcPr>
            <w:tcW w:w="5380" w:type="dxa"/>
            <w:tcBorders>
              <w:top w:val="nil"/>
              <w:left w:val="nil"/>
              <w:bottom w:val="nil"/>
              <w:right w:val="nil"/>
            </w:tcBorders>
            <w:noWrap/>
            <w:vAlign w:val="bottom"/>
          </w:tcPr>
          <w:p w:rsidR="00197AA0" w:rsidRPr="0022439F" w:rsidRDefault="00197AA0" w:rsidP="009F3905">
            <w:pPr>
              <w:rPr>
                <w:rFonts w:ascii="Arial" w:hAnsi="Arial" w:cs="Arial"/>
                <w:b/>
                <w:bCs/>
                <w:color w:val="000000"/>
                <w:lang w:val="es-SV" w:eastAsia="es-SV"/>
              </w:rPr>
            </w:pPr>
            <w:r w:rsidRPr="0022439F">
              <w:rPr>
                <w:rFonts w:ascii="Arial" w:hAnsi="Arial" w:cs="Arial"/>
                <w:b/>
                <w:bCs/>
                <w:color w:val="000000"/>
                <w:sz w:val="22"/>
                <w:szCs w:val="22"/>
                <w:lang w:val="es-SV" w:eastAsia="es-SV"/>
              </w:rPr>
              <w:t>Bibliografía</w:t>
            </w: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2720"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46" w:type="dxa"/>
            <w:tcBorders>
              <w:top w:val="nil"/>
              <w:left w:val="nil"/>
              <w:bottom w:val="nil"/>
              <w:right w:val="nil"/>
            </w:tcBorders>
            <w:noWrap/>
            <w:vAlign w:val="bottom"/>
          </w:tcPr>
          <w:p w:rsidR="00197AA0" w:rsidRPr="0022439F" w:rsidRDefault="00197AA0" w:rsidP="009F3905">
            <w:pPr>
              <w:rPr>
                <w:rFonts w:ascii="Arial" w:hAnsi="Arial" w:cs="Arial"/>
                <w:color w:val="000000"/>
                <w:lang w:val="es-SV" w:eastAsia="es-SV"/>
              </w:rPr>
            </w:pPr>
          </w:p>
        </w:tc>
        <w:tc>
          <w:tcPr>
            <w:tcW w:w="1200" w:type="dxa"/>
            <w:tcBorders>
              <w:top w:val="nil"/>
              <w:left w:val="nil"/>
              <w:bottom w:val="nil"/>
              <w:right w:val="nil"/>
            </w:tcBorders>
            <w:noWrap/>
            <w:vAlign w:val="bottom"/>
          </w:tcPr>
          <w:p w:rsidR="00197AA0" w:rsidRPr="0022439F" w:rsidRDefault="00197AA0" w:rsidP="009F3905">
            <w:pPr>
              <w:jc w:val="center"/>
              <w:rPr>
                <w:rFonts w:ascii="Arial" w:hAnsi="Arial" w:cs="Arial"/>
                <w:color w:val="000000"/>
                <w:lang w:val="es-SV" w:eastAsia="es-SV"/>
              </w:rPr>
            </w:pPr>
            <w:r w:rsidRPr="0022439F">
              <w:rPr>
                <w:rFonts w:ascii="Arial" w:hAnsi="Arial" w:cs="Arial"/>
                <w:color w:val="000000"/>
                <w:sz w:val="22"/>
                <w:szCs w:val="22"/>
                <w:lang w:val="es-SV" w:eastAsia="es-SV"/>
              </w:rPr>
              <w:t>1</w:t>
            </w:r>
            <w:r>
              <w:rPr>
                <w:rFonts w:ascii="Arial" w:hAnsi="Arial" w:cs="Arial"/>
                <w:color w:val="000000"/>
                <w:sz w:val="22"/>
                <w:szCs w:val="22"/>
                <w:lang w:val="es-SV" w:eastAsia="es-SV"/>
              </w:rPr>
              <w:t>50</w:t>
            </w:r>
          </w:p>
        </w:tc>
      </w:tr>
    </w:tbl>
    <w:p w:rsidR="00197AA0" w:rsidRPr="000C4E67" w:rsidRDefault="00197AA0" w:rsidP="00CA797C">
      <w:pPr>
        <w:spacing w:line="360" w:lineRule="auto"/>
        <w:ind w:firstLine="567"/>
        <w:rPr>
          <w:rFonts w:ascii="Arial" w:hAnsi="Arial" w:cs="Arial"/>
          <w:sz w:val="22"/>
          <w:szCs w:val="22"/>
        </w:rPr>
      </w:pPr>
    </w:p>
    <w:p w:rsidR="00197AA0" w:rsidRPr="000C4E67" w:rsidRDefault="00197AA0" w:rsidP="00CA797C">
      <w:pPr>
        <w:spacing w:line="360" w:lineRule="auto"/>
        <w:ind w:firstLine="567"/>
        <w:rPr>
          <w:rFonts w:ascii="Arial" w:hAnsi="Arial" w:cs="Arial"/>
          <w:sz w:val="22"/>
          <w:szCs w:val="22"/>
        </w:rPr>
      </w:pPr>
    </w:p>
    <w:p w:rsidR="00197AA0" w:rsidRDefault="00197AA0" w:rsidP="00CA797C"/>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Default="00197AA0" w:rsidP="006317ED">
      <w:pPr>
        <w:jc w:val="center"/>
        <w:rPr>
          <w:rFonts w:ascii="Arial" w:hAnsi="Arial" w:cs="Arial"/>
          <w:b/>
          <w:sz w:val="22"/>
          <w:szCs w:val="22"/>
        </w:rPr>
      </w:pPr>
    </w:p>
    <w:p w:rsidR="00197AA0" w:rsidRPr="006A352E" w:rsidRDefault="00197AA0" w:rsidP="00CA797C">
      <w:pPr>
        <w:jc w:val="center"/>
        <w:rPr>
          <w:rFonts w:ascii="Arial" w:hAnsi="Arial" w:cs="Arial"/>
          <w:b/>
          <w:sz w:val="22"/>
          <w:szCs w:val="22"/>
        </w:rPr>
      </w:pPr>
      <w:r>
        <w:rPr>
          <w:rFonts w:ascii="Arial" w:hAnsi="Arial" w:cs="Arial"/>
          <w:b/>
          <w:sz w:val="22"/>
          <w:szCs w:val="22"/>
        </w:rPr>
        <w:lastRenderedPageBreak/>
        <w:t>ACRÓ</w:t>
      </w:r>
      <w:r w:rsidRPr="006A352E">
        <w:rPr>
          <w:rFonts w:ascii="Arial" w:hAnsi="Arial" w:cs="Arial"/>
          <w:b/>
          <w:sz w:val="22"/>
          <w:szCs w:val="22"/>
        </w:rPr>
        <w:t>NIMOS EN ESPA</w:t>
      </w:r>
      <w:r>
        <w:rPr>
          <w:rFonts w:ascii="Arial" w:hAnsi="Arial" w:cs="Arial"/>
          <w:b/>
          <w:sz w:val="22"/>
          <w:szCs w:val="22"/>
        </w:rPr>
        <w:t>Ñ</w:t>
      </w:r>
      <w:r w:rsidRPr="006A352E">
        <w:rPr>
          <w:rFonts w:ascii="Arial" w:hAnsi="Arial" w:cs="Arial"/>
          <w:b/>
          <w:sz w:val="22"/>
          <w:szCs w:val="22"/>
        </w:rPr>
        <w:t>OL</w:t>
      </w:r>
    </w:p>
    <w:p w:rsidR="00197AA0" w:rsidRPr="006A352E" w:rsidRDefault="00197AA0" w:rsidP="00CA797C">
      <w:pPr>
        <w:jc w:val="both"/>
        <w:rPr>
          <w:rFonts w:ascii="Arial" w:hAnsi="Arial" w:cs="Arial"/>
          <w:b/>
          <w:sz w:val="22"/>
          <w:szCs w:val="22"/>
        </w:rPr>
      </w:pPr>
    </w:p>
    <w:p w:rsidR="00197AA0" w:rsidRPr="006A352E" w:rsidRDefault="00197AA0" w:rsidP="00CA797C">
      <w:pPr>
        <w:jc w:val="both"/>
        <w:rPr>
          <w:rFonts w:ascii="Arial" w:hAnsi="Arial" w:cs="Arial"/>
          <w:b/>
          <w:sz w:val="22"/>
          <w:szCs w:val="22"/>
        </w:rPr>
      </w:pP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AAPA</w:t>
      </w:r>
      <w:r w:rsidRPr="006A352E">
        <w:rPr>
          <w:rFonts w:ascii="Arial" w:hAnsi="Arial" w:cs="Arial"/>
          <w:sz w:val="22"/>
          <w:szCs w:val="22"/>
        </w:rPr>
        <w:t>: Asociación Amer</w:t>
      </w:r>
      <w:r>
        <w:rPr>
          <w:rFonts w:ascii="Arial" w:hAnsi="Arial" w:cs="Arial"/>
          <w:sz w:val="22"/>
          <w:szCs w:val="22"/>
        </w:rPr>
        <w:t>icana de Autoridades Portuarias</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AIS</w:t>
      </w:r>
      <w:r w:rsidRPr="006A352E">
        <w:rPr>
          <w:rFonts w:ascii="Arial" w:hAnsi="Arial" w:cs="Arial"/>
          <w:sz w:val="22"/>
          <w:szCs w:val="22"/>
        </w:rPr>
        <w:t>:</w:t>
      </w:r>
      <w:r>
        <w:rPr>
          <w:rFonts w:ascii="Arial" w:hAnsi="Arial" w:cs="Arial"/>
          <w:sz w:val="22"/>
          <w:szCs w:val="22"/>
        </w:rPr>
        <w:t xml:space="preserve"> </w:t>
      </w:r>
      <w:r w:rsidRPr="006A352E">
        <w:rPr>
          <w:rFonts w:ascii="Arial" w:hAnsi="Arial" w:cs="Arial"/>
          <w:sz w:val="22"/>
          <w:szCs w:val="22"/>
        </w:rPr>
        <w:t>Siste</w:t>
      </w:r>
      <w:r>
        <w:rPr>
          <w:rFonts w:ascii="Arial" w:hAnsi="Arial" w:cs="Arial"/>
          <w:sz w:val="22"/>
          <w:szCs w:val="22"/>
        </w:rPr>
        <w:t>ma de Identificación Automática</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AMP</w:t>
      </w:r>
      <w:r>
        <w:rPr>
          <w:rFonts w:ascii="Arial" w:hAnsi="Arial" w:cs="Arial"/>
          <w:sz w:val="22"/>
          <w:szCs w:val="22"/>
        </w:rPr>
        <w:t>: Autoridad Marítima Portuaria</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AMSA</w:t>
      </w:r>
      <w:r w:rsidRPr="006A352E">
        <w:rPr>
          <w:rFonts w:ascii="Arial" w:hAnsi="Arial" w:cs="Arial"/>
          <w:sz w:val="22"/>
          <w:szCs w:val="22"/>
        </w:rPr>
        <w:t xml:space="preserve">: Autoridad Europea de </w:t>
      </w:r>
      <w:r>
        <w:rPr>
          <w:rFonts w:ascii="Arial" w:hAnsi="Arial" w:cs="Arial"/>
          <w:sz w:val="22"/>
          <w:szCs w:val="22"/>
        </w:rPr>
        <w:t>Seguridad Marítima de Australia</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lang w:val="es-SV"/>
        </w:rPr>
        <w:t>ARENA</w:t>
      </w:r>
      <w:r w:rsidRPr="006A352E">
        <w:rPr>
          <w:rFonts w:ascii="Arial" w:hAnsi="Arial" w:cs="Arial"/>
          <w:sz w:val="22"/>
          <w:szCs w:val="22"/>
          <w:lang w:val="es-SV"/>
        </w:rPr>
        <w:t>: A</w:t>
      </w:r>
      <w:r>
        <w:rPr>
          <w:rFonts w:ascii="Arial" w:hAnsi="Arial" w:cs="Arial"/>
          <w:sz w:val="22"/>
          <w:szCs w:val="22"/>
          <w:lang w:val="es-SV"/>
        </w:rPr>
        <w:t>lianza Republicana Nacionalista</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ATSB</w:t>
      </w:r>
      <w:r w:rsidRPr="006A352E">
        <w:rPr>
          <w:rFonts w:ascii="Arial" w:hAnsi="Arial" w:cs="Arial"/>
          <w:sz w:val="22"/>
          <w:szCs w:val="22"/>
        </w:rPr>
        <w:t>: Oficina de Seguri</w:t>
      </w:r>
      <w:r>
        <w:rPr>
          <w:rFonts w:ascii="Arial" w:hAnsi="Arial" w:cs="Arial"/>
          <w:sz w:val="22"/>
          <w:szCs w:val="22"/>
        </w:rPr>
        <w:t>dad del Transporte de Australia</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BID</w:t>
      </w:r>
      <w:r w:rsidRPr="006A352E">
        <w:rPr>
          <w:rFonts w:ascii="Arial" w:hAnsi="Arial" w:cs="Arial"/>
          <w:sz w:val="22"/>
          <w:szCs w:val="22"/>
        </w:rPr>
        <w:t>: Ban</w:t>
      </w:r>
      <w:r>
        <w:rPr>
          <w:rFonts w:ascii="Arial" w:hAnsi="Arial" w:cs="Arial"/>
          <w:sz w:val="22"/>
          <w:szCs w:val="22"/>
        </w:rPr>
        <w:t>co Interamericano de Desarrollo</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BM</w:t>
      </w:r>
      <w:r w:rsidRPr="006A352E">
        <w:rPr>
          <w:rFonts w:ascii="Arial" w:hAnsi="Arial" w:cs="Arial"/>
          <w:sz w:val="22"/>
          <w:szCs w:val="22"/>
        </w:rPr>
        <w:t xml:space="preserve">: Banco </w:t>
      </w:r>
      <w:r>
        <w:rPr>
          <w:rFonts w:ascii="Arial" w:hAnsi="Arial" w:cs="Arial"/>
          <w:sz w:val="22"/>
          <w:szCs w:val="22"/>
        </w:rPr>
        <w:t>Mundial</w:t>
      </w:r>
    </w:p>
    <w:p w:rsidR="00197AA0" w:rsidRPr="006A352E" w:rsidRDefault="00197AA0" w:rsidP="00CA797C">
      <w:pPr>
        <w:pStyle w:val="Textonotapie"/>
        <w:spacing w:line="360" w:lineRule="auto"/>
        <w:jc w:val="both"/>
        <w:rPr>
          <w:rFonts w:ascii="Arial" w:hAnsi="Arial" w:cs="Arial"/>
          <w:sz w:val="22"/>
          <w:szCs w:val="22"/>
          <w:lang w:val="es-MX"/>
        </w:rPr>
      </w:pPr>
      <w:r w:rsidRPr="006A352E">
        <w:rPr>
          <w:rFonts w:ascii="Arial" w:hAnsi="Arial" w:cs="Arial"/>
          <w:b/>
          <w:sz w:val="22"/>
          <w:szCs w:val="22"/>
          <w:lang w:val="es-MX"/>
        </w:rPr>
        <w:t>CAF</w:t>
      </w:r>
      <w:r w:rsidRPr="006A352E">
        <w:rPr>
          <w:rFonts w:ascii="Arial" w:hAnsi="Arial" w:cs="Arial"/>
          <w:sz w:val="22"/>
          <w:szCs w:val="22"/>
          <w:lang w:val="es-MX"/>
        </w:rPr>
        <w:t>:</w:t>
      </w:r>
      <w:r>
        <w:rPr>
          <w:rFonts w:ascii="Arial" w:hAnsi="Arial" w:cs="Arial"/>
          <w:sz w:val="22"/>
          <w:szCs w:val="22"/>
          <w:lang w:val="es-MX"/>
        </w:rPr>
        <w:t xml:space="preserve"> Corporación Andina de Fomento</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CEPA</w:t>
      </w:r>
      <w:r w:rsidRPr="006A352E">
        <w:rPr>
          <w:rFonts w:ascii="Arial" w:hAnsi="Arial" w:cs="Arial"/>
          <w:sz w:val="22"/>
          <w:szCs w:val="22"/>
        </w:rPr>
        <w:t>: Comisi</w:t>
      </w:r>
      <w:r>
        <w:rPr>
          <w:rFonts w:ascii="Arial" w:hAnsi="Arial" w:cs="Arial"/>
          <w:sz w:val="22"/>
          <w:szCs w:val="22"/>
        </w:rPr>
        <w:t>ón Ejecutiva Portuaria Autónoma</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CEPAL</w:t>
      </w:r>
      <w:r w:rsidRPr="006A352E">
        <w:rPr>
          <w:rFonts w:ascii="Arial" w:hAnsi="Arial" w:cs="Arial"/>
          <w:sz w:val="22"/>
          <w:szCs w:val="22"/>
        </w:rPr>
        <w:t>: Comisió</w:t>
      </w:r>
      <w:r>
        <w:rPr>
          <w:rFonts w:ascii="Arial" w:hAnsi="Arial" w:cs="Arial"/>
          <w:sz w:val="22"/>
          <w:szCs w:val="22"/>
        </w:rPr>
        <w:t>n Económica para América Latina</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CH3OH</w:t>
      </w:r>
      <w:r>
        <w:rPr>
          <w:rFonts w:ascii="Arial" w:hAnsi="Arial" w:cs="Arial"/>
          <w:sz w:val="22"/>
          <w:szCs w:val="22"/>
        </w:rPr>
        <w:t>: Metanol</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CIP-OEA</w:t>
      </w:r>
      <w:r w:rsidRPr="006A352E">
        <w:rPr>
          <w:rFonts w:ascii="Arial" w:hAnsi="Arial" w:cs="Arial"/>
          <w:sz w:val="22"/>
          <w:szCs w:val="22"/>
        </w:rPr>
        <w:t>: Comisión Interamericana de Puertos de la Organización</w:t>
      </w:r>
      <w:r>
        <w:rPr>
          <w:rFonts w:ascii="Arial" w:hAnsi="Arial" w:cs="Arial"/>
          <w:sz w:val="22"/>
          <w:szCs w:val="22"/>
        </w:rPr>
        <w:t xml:space="preserve"> de Estados Americanos</w:t>
      </w:r>
    </w:p>
    <w:p w:rsidR="00197AA0" w:rsidRPr="006A352E" w:rsidRDefault="00197AA0" w:rsidP="00CA797C">
      <w:pPr>
        <w:pStyle w:val="Textonotapie"/>
        <w:spacing w:line="360" w:lineRule="auto"/>
        <w:jc w:val="both"/>
        <w:rPr>
          <w:rFonts w:ascii="Arial" w:hAnsi="Arial" w:cs="Arial"/>
          <w:sz w:val="22"/>
          <w:szCs w:val="22"/>
          <w:lang w:val="es-CL"/>
        </w:rPr>
      </w:pPr>
      <w:r w:rsidRPr="006A352E">
        <w:rPr>
          <w:rFonts w:ascii="Arial" w:hAnsi="Arial" w:cs="Arial"/>
          <w:b/>
          <w:sz w:val="22"/>
          <w:szCs w:val="22"/>
          <w:lang w:val="es-CL"/>
        </w:rPr>
        <w:t>CLC</w:t>
      </w:r>
      <w:r w:rsidRPr="006A352E">
        <w:rPr>
          <w:rFonts w:ascii="Arial" w:hAnsi="Arial" w:cs="Arial"/>
          <w:sz w:val="22"/>
          <w:szCs w:val="22"/>
          <w:lang w:val="es-CL"/>
        </w:rPr>
        <w:t>: Convenio internacional sobre la responsabilidad civil nacida de daños debidos a contamin</w:t>
      </w:r>
      <w:r>
        <w:rPr>
          <w:rFonts w:ascii="Arial" w:hAnsi="Arial" w:cs="Arial"/>
          <w:sz w:val="22"/>
          <w:szCs w:val="22"/>
          <w:lang w:val="es-CL"/>
        </w:rPr>
        <w:t>ación por hidrocarburos de 1969</w:t>
      </w:r>
    </w:p>
    <w:p w:rsidR="00197AA0" w:rsidRPr="006A352E" w:rsidRDefault="00197AA0" w:rsidP="00CA797C">
      <w:pPr>
        <w:pStyle w:val="Textonotapie"/>
        <w:spacing w:line="360" w:lineRule="auto"/>
        <w:jc w:val="both"/>
        <w:rPr>
          <w:rFonts w:ascii="Arial" w:hAnsi="Arial" w:cs="Arial"/>
          <w:b/>
          <w:sz w:val="22"/>
          <w:szCs w:val="22"/>
        </w:rPr>
      </w:pPr>
      <w:r w:rsidRPr="006A352E">
        <w:rPr>
          <w:rFonts w:ascii="Arial" w:hAnsi="Arial" w:cs="Arial"/>
          <w:b/>
          <w:sz w:val="22"/>
          <w:szCs w:val="22"/>
        </w:rPr>
        <w:t>CO2</w:t>
      </w:r>
      <w:r w:rsidRPr="006A352E">
        <w:rPr>
          <w:rFonts w:ascii="Arial" w:hAnsi="Arial" w:cs="Arial"/>
          <w:sz w:val="22"/>
          <w:szCs w:val="22"/>
        </w:rPr>
        <w:t>: Dióxido de carbono</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lang w:val="es-MX"/>
        </w:rPr>
        <w:t>COCATRAM</w:t>
      </w:r>
      <w:r w:rsidRPr="006A352E">
        <w:rPr>
          <w:rFonts w:ascii="Arial" w:hAnsi="Arial" w:cs="Arial"/>
          <w:sz w:val="22"/>
          <w:szCs w:val="22"/>
          <w:lang w:val="es-MX"/>
        </w:rPr>
        <w:t xml:space="preserve">: </w:t>
      </w:r>
      <w:r w:rsidRPr="006A352E">
        <w:rPr>
          <w:rFonts w:ascii="Arial" w:hAnsi="Arial" w:cs="Arial"/>
          <w:sz w:val="22"/>
          <w:szCs w:val="22"/>
        </w:rPr>
        <w:t xml:space="preserve">Comisión Centroamericana de </w:t>
      </w:r>
      <w:r>
        <w:rPr>
          <w:rFonts w:ascii="Arial" w:hAnsi="Arial" w:cs="Arial"/>
          <w:sz w:val="22"/>
          <w:szCs w:val="22"/>
        </w:rPr>
        <w:t>Transporte Marítimo</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COMITRAM</w:t>
      </w:r>
      <w:r w:rsidRPr="006A352E">
        <w:rPr>
          <w:rFonts w:ascii="Arial" w:hAnsi="Arial" w:cs="Arial"/>
          <w:sz w:val="22"/>
          <w:szCs w:val="22"/>
        </w:rPr>
        <w:t xml:space="preserve">: </w:t>
      </w:r>
      <w:r w:rsidRPr="006A352E">
        <w:rPr>
          <w:rFonts w:ascii="Arial" w:hAnsi="Arial" w:cs="Arial"/>
          <w:sz w:val="22"/>
          <w:szCs w:val="22"/>
          <w:lang w:val="es-MX"/>
        </w:rPr>
        <w:t>Consejo Sectorial de Ministros</w:t>
      </w:r>
      <w:r>
        <w:rPr>
          <w:rFonts w:ascii="Arial" w:hAnsi="Arial" w:cs="Arial"/>
          <w:sz w:val="22"/>
          <w:szCs w:val="22"/>
          <w:lang w:val="es-MX"/>
        </w:rPr>
        <w:t xml:space="preserve"> de Transporte de Centroamérica</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lang w:val="es-CL"/>
        </w:rPr>
        <w:t>CONVEMAR</w:t>
      </w:r>
      <w:r w:rsidRPr="006A352E">
        <w:rPr>
          <w:rFonts w:ascii="Arial" w:hAnsi="Arial" w:cs="Arial"/>
          <w:sz w:val="22"/>
          <w:szCs w:val="22"/>
          <w:lang w:val="es-CL"/>
        </w:rPr>
        <w:t xml:space="preserve">: </w:t>
      </w:r>
      <w:r w:rsidRPr="006A352E">
        <w:rPr>
          <w:rFonts w:ascii="Arial" w:hAnsi="Arial" w:cs="Arial"/>
          <w:sz w:val="22"/>
          <w:szCs w:val="22"/>
        </w:rPr>
        <w:t xml:space="preserve">Convención de las Naciones </w:t>
      </w:r>
      <w:r>
        <w:rPr>
          <w:rFonts w:ascii="Arial" w:hAnsi="Arial" w:cs="Arial"/>
          <w:sz w:val="22"/>
          <w:szCs w:val="22"/>
        </w:rPr>
        <w:t>Unidas sobre el derecho del mar</w:t>
      </w:r>
    </w:p>
    <w:p w:rsidR="00197AA0" w:rsidRPr="006A352E" w:rsidRDefault="00197AA0" w:rsidP="00CA797C">
      <w:pPr>
        <w:pStyle w:val="Textonotapie"/>
        <w:spacing w:line="360" w:lineRule="auto"/>
        <w:jc w:val="both"/>
        <w:rPr>
          <w:rFonts w:ascii="Arial" w:hAnsi="Arial" w:cs="Arial"/>
          <w:bCs/>
          <w:sz w:val="22"/>
          <w:szCs w:val="22"/>
          <w:lang w:val="es-CL"/>
        </w:rPr>
      </w:pPr>
      <w:r w:rsidRPr="006A352E">
        <w:rPr>
          <w:rFonts w:ascii="Arial" w:hAnsi="Arial" w:cs="Arial"/>
          <w:b/>
          <w:bCs/>
          <w:sz w:val="22"/>
          <w:szCs w:val="22"/>
          <w:lang w:val="es-CL"/>
        </w:rPr>
        <w:t>CONVENIO FONDOS</w:t>
      </w:r>
      <w:r w:rsidRPr="006A352E">
        <w:rPr>
          <w:rFonts w:ascii="Arial" w:hAnsi="Arial" w:cs="Arial"/>
          <w:bCs/>
          <w:sz w:val="22"/>
          <w:szCs w:val="22"/>
          <w:lang w:val="es-CL"/>
        </w:rPr>
        <w:t>: Convenio internacional sobre la constitución de un fondo internacional de indemnización de daños debidos a la contamin</w:t>
      </w:r>
      <w:r>
        <w:rPr>
          <w:rFonts w:ascii="Arial" w:hAnsi="Arial" w:cs="Arial"/>
          <w:bCs/>
          <w:sz w:val="22"/>
          <w:szCs w:val="22"/>
          <w:lang w:val="es-CL"/>
        </w:rPr>
        <w:t>ación por hidrocarburos de 1971</w:t>
      </w:r>
    </w:p>
    <w:p w:rsidR="00197AA0" w:rsidRPr="006A352E" w:rsidRDefault="00197AA0" w:rsidP="00CA797C">
      <w:pPr>
        <w:pStyle w:val="Textonotapie"/>
        <w:spacing w:line="360" w:lineRule="auto"/>
        <w:jc w:val="both"/>
        <w:rPr>
          <w:rFonts w:ascii="Arial" w:hAnsi="Arial" w:cs="Arial"/>
          <w:bCs/>
          <w:sz w:val="22"/>
          <w:szCs w:val="22"/>
        </w:rPr>
      </w:pPr>
      <w:r w:rsidRPr="006A352E">
        <w:rPr>
          <w:rFonts w:ascii="Arial" w:hAnsi="Arial" w:cs="Arial"/>
          <w:b/>
          <w:bCs/>
          <w:sz w:val="22"/>
          <w:szCs w:val="22"/>
          <w:lang w:val="es-CL"/>
        </w:rPr>
        <w:t>CSM</w:t>
      </w:r>
      <w:r w:rsidRPr="006A352E">
        <w:rPr>
          <w:rFonts w:ascii="Arial" w:hAnsi="Arial" w:cs="Arial"/>
          <w:bCs/>
          <w:sz w:val="22"/>
          <w:szCs w:val="22"/>
          <w:lang w:val="es-CL"/>
        </w:rPr>
        <w:t xml:space="preserve">: </w:t>
      </w:r>
      <w:r>
        <w:rPr>
          <w:rFonts w:ascii="Arial" w:hAnsi="Arial" w:cs="Arial"/>
          <w:bCs/>
          <w:sz w:val="22"/>
          <w:szCs w:val="22"/>
        </w:rPr>
        <w:t>Comité de Seguridad Marítima</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CRISTAL</w:t>
      </w:r>
      <w:r w:rsidRPr="006A352E">
        <w:rPr>
          <w:rFonts w:ascii="Arial" w:hAnsi="Arial" w:cs="Arial"/>
          <w:sz w:val="22"/>
          <w:szCs w:val="22"/>
        </w:rPr>
        <w:t>:</w:t>
      </w:r>
      <w:r>
        <w:rPr>
          <w:rFonts w:ascii="Arial" w:hAnsi="Arial" w:cs="Arial"/>
          <w:sz w:val="22"/>
          <w:szCs w:val="22"/>
        </w:rPr>
        <w:t xml:space="preserve"> </w:t>
      </w:r>
      <w:r w:rsidRPr="006A352E">
        <w:rPr>
          <w:rFonts w:ascii="Arial" w:hAnsi="Arial" w:cs="Arial"/>
          <w:sz w:val="22"/>
          <w:szCs w:val="22"/>
        </w:rPr>
        <w:t>Contrato relativo a un complemento provisional de la responsabilidad nacida de la contaminación por</w:t>
      </w:r>
      <w:r>
        <w:rPr>
          <w:rFonts w:ascii="Arial" w:hAnsi="Arial" w:cs="Arial"/>
          <w:sz w:val="22"/>
          <w:szCs w:val="22"/>
        </w:rPr>
        <w:t xml:space="preserve"> hidrocarburos de buques tanque</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C/u</w:t>
      </w:r>
      <w:r>
        <w:rPr>
          <w:rFonts w:ascii="Arial" w:hAnsi="Arial" w:cs="Arial"/>
          <w:sz w:val="22"/>
          <w:szCs w:val="22"/>
        </w:rPr>
        <w:t>: cada uno</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D.O.</w:t>
      </w:r>
      <w:r>
        <w:rPr>
          <w:rFonts w:ascii="Arial" w:hAnsi="Arial" w:cs="Arial"/>
          <w:sz w:val="22"/>
          <w:szCs w:val="22"/>
        </w:rPr>
        <w:t>: Diario Oficial</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EE.UU.</w:t>
      </w:r>
      <w:r w:rsidRPr="006A352E">
        <w:rPr>
          <w:rFonts w:ascii="Arial" w:hAnsi="Arial" w:cs="Arial"/>
          <w:sz w:val="22"/>
          <w:szCs w:val="22"/>
        </w:rPr>
        <w:t>:</w:t>
      </w:r>
      <w:r>
        <w:rPr>
          <w:rFonts w:ascii="Arial" w:hAnsi="Arial" w:cs="Arial"/>
          <w:sz w:val="22"/>
          <w:szCs w:val="22"/>
        </w:rPr>
        <w:t xml:space="preserve"> Estados Unidos</w:t>
      </w:r>
    </w:p>
    <w:p w:rsidR="00197AA0" w:rsidRPr="006A352E" w:rsidRDefault="00197AA0" w:rsidP="00CA797C">
      <w:pPr>
        <w:pStyle w:val="Textonotapie"/>
        <w:spacing w:line="360" w:lineRule="auto"/>
        <w:jc w:val="both"/>
        <w:rPr>
          <w:rFonts w:ascii="Arial" w:hAnsi="Arial" w:cs="Arial"/>
          <w:b/>
          <w:sz w:val="22"/>
          <w:szCs w:val="22"/>
        </w:rPr>
      </w:pPr>
      <w:r w:rsidRPr="006A352E">
        <w:rPr>
          <w:rFonts w:ascii="Arial" w:hAnsi="Arial" w:cs="Arial"/>
          <w:b/>
          <w:sz w:val="22"/>
          <w:szCs w:val="22"/>
        </w:rPr>
        <w:t>FAL 65</w:t>
      </w:r>
      <w:r w:rsidRPr="006A352E">
        <w:rPr>
          <w:rFonts w:ascii="Arial" w:hAnsi="Arial" w:cs="Arial"/>
          <w:sz w:val="22"/>
          <w:szCs w:val="22"/>
        </w:rPr>
        <w:t>: Convenio Internacional para la Facilitación del Tráfico Marítimo</w:t>
      </w:r>
    </w:p>
    <w:p w:rsidR="00197AA0" w:rsidRPr="00CA797C" w:rsidRDefault="001D7573" w:rsidP="00CA797C">
      <w:pPr>
        <w:pStyle w:val="Textonotapie"/>
        <w:spacing w:line="360" w:lineRule="auto"/>
        <w:jc w:val="both"/>
        <w:rPr>
          <w:rFonts w:ascii="Arial" w:hAnsi="Arial" w:cs="Arial"/>
          <w:b/>
          <w:sz w:val="22"/>
          <w:szCs w:val="22"/>
        </w:rPr>
      </w:pPr>
      <w:r w:rsidRPr="001D7573">
        <w:rPr>
          <w:noProof/>
          <w:lang w:eastAsia="en-US"/>
        </w:rPr>
        <w:pict>
          <v:shapetype id="_x0000_t202" coordsize="21600,21600" o:spt="202" path="m,l,21600r21600,l21600,xe">
            <v:stroke joinstyle="miter"/>
            <v:path gradientshapeok="t" o:connecttype="rect"/>
          </v:shapetype>
          <v:shape id="_x0000_s1030" type="#_x0000_t202" style="position:absolute;left:0;text-align:left;margin-left:187.8pt;margin-top:67.65pt;width:26.25pt;height:21pt;z-index:251661312;mso-height-percent:200;mso-height-percent:200;mso-width-relative:margin;mso-height-relative:margin" fillcolor="white [3212]" stroked="f">
            <v:textbox style="mso-fit-shape-to-text:t">
              <w:txbxContent>
                <w:p w:rsidR="00AC7D7B" w:rsidRDefault="00AC7D7B">
                  <w:r>
                    <w:t>iv</w:t>
                  </w:r>
                </w:p>
              </w:txbxContent>
            </v:textbox>
          </v:shape>
        </w:pict>
      </w:r>
      <w:r w:rsidR="00197AA0" w:rsidRPr="006A352E">
        <w:rPr>
          <w:rFonts w:ascii="Arial" w:hAnsi="Arial" w:cs="Arial"/>
          <w:b/>
          <w:sz w:val="22"/>
          <w:szCs w:val="22"/>
        </w:rPr>
        <w:t>FENADESAL</w:t>
      </w:r>
      <w:r w:rsidR="00197AA0" w:rsidRPr="006A352E">
        <w:rPr>
          <w:rFonts w:ascii="Arial" w:hAnsi="Arial" w:cs="Arial"/>
          <w:color w:val="000000"/>
          <w:sz w:val="22"/>
          <w:szCs w:val="22"/>
        </w:rPr>
        <w:t xml:space="preserve">: </w:t>
      </w:r>
      <w:hyperlink r:id="rId10" w:history="1">
        <w:r w:rsidR="00197AA0" w:rsidRPr="00CA797C">
          <w:rPr>
            <w:rStyle w:val="Hipervnculo"/>
            <w:rFonts w:ascii="Arial" w:hAnsi="Arial" w:cs="Arial"/>
            <w:color w:val="000000"/>
            <w:sz w:val="22"/>
            <w:szCs w:val="22"/>
            <w:u w:val="none"/>
          </w:rPr>
          <w:t>Ferrocarriles Nacionales de El Salvador</w:t>
        </w:r>
      </w:hyperlink>
    </w:p>
    <w:p w:rsidR="00197AA0" w:rsidRPr="006A352E" w:rsidRDefault="00197AA0" w:rsidP="00CA797C">
      <w:pPr>
        <w:pStyle w:val="Textonotapie"/>
        <w:spacing w:line="360" w:lineRule="auto"/>
        <w:jc w:val="both"/>
        <w:rPr>
          <w:rFonts w:ascii="Arial" w:hAnsi="Arial" w:cs="Arial"/>
          <w:b/>
          <w:sz w:val="22"/>
          <w:szCs w:val="22"/>
        </w:rPr>
      </w:pPr>
      <w:r w:rsidRPr="006A352E">
        <w:rPr>
          <w:rFonts w:ascii="Arial" w:hAnsi="Arial" w:cs="Arial"/>
          <w:b/>
          <w:sz w:val="22"/>
          <w:szCs w:val="22"/>
        </w:rPr>
        <w:lastRenderedPageBreak/>
        <w:t>FIDAC</w:t>
      </w:r>
      <w:r w:rsidRPr="006A352E">
        <w:rPr>
          <w:rFonts w:ascii="Arial" w:hAnsi="Arial" w:cs="Arial"/>
          <w:sz w:val="22"/>
          <w:szCs w:val="22"/>
        </w:rPr>
        <w:t>: Fondo Internacional de Indemnización para Daños por Contaminación de Petróleo 1971-72</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FMI</w:t>
      </w:r>
      <w:r>
        <w:rPr>
          <w:rFonts w:ascii="Arial" w:hAnsi="Arial" w:cs="Arial"/>
          <w:sz w:val="22"/>
          <w:szCs w:val="22"/>
        </w:rPr>
        <w:t>: Fondo Monetario Internacional</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FUSADES</w:t>
      </w:r>
      <w:r w:rsidRPr="006A352E">
        <w:rPr>
          <w:rFonts w:ascii="Arial" w:hAnsi="Arial" w:cs="Arial"/>
          <w:sz w:val="22"/>
          <w:szCs w:val="22"/>
        </w:rPr>
        <w:t>: Fundación Salvadoreña para el Desarrollo Económico y Social</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GBRMPA</w:t>
      </w:r>
      <w:r w:rsidRPr="006A352E">
        <w:rPr>
          <w:rFonts w:ascii="Arial" w:hAnsi="Arial" w:cs="Arial"/>
          <w:sz w:val="22"/>
          <w:szCs w:val="22"/>
        </w:rPr>
        <w:t>: Gran Barrera de Arrecifes de Autoridad del Parque Marino.</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GLP</w:t>
      </w:r>
      <w:r>
        <w:rPr>
          <w:rFonts w:ascii="Arial" w:hAnsi="Arial" w:cs="Arial"/>
          <w:sz w:val="22"/>
          <w:szCs w:val="22"/>
        </w:rPr>
        <w:t>: Gas Licuado Petróleo</w:t>
      </w:r>
    </w:p>
    <w:p w:rsidR="00197AA0" w:rsidRPr="00B4474F" w:rsidRDefault="00197AA0" w:rsidP="00CA797C">
      <w:pPr>
        <w:pStyle w:val="Textonotapie"/>
        <w:spacing w:line="360" w:lineRule="auto"/>
        <w:jc w:val="both"/>
        <w:rPr>
          <w:rFonts w:ascii="Arial" w:hAnsi="Arial" w:cs="Arial"/>
          <w:color w:val="000000"/>
          <w:sz w:val="22"/>
          <w:szCs w:val="22"/>
        </w:rPr>
      </w:pPr>
      <w:r w:rsidRPr="006A352E">
        <w:rPr>
          <w:rFonts w:ascii="Arial" w:hAnsi="Arial" w:cs="Arial"/>
          <w:b/>
          <w:color w:val="000000"/>
          <w:sz w:val="22"/>
          <w:szCs w:val="22"/>
        </w:rPr>
        <w:t xml:space="preserve">GTZ: </w:t>
      </w:r>
      <w:r>
        <w:rPr>
          <w:rFonts w:ascii="Arial" w:hAnsi="Arial" w:cs="Arial"/>
          <w:color w:val="000000"/>
          <w:sz w:val="22"/>
          <w:szCs w:val="22"/>
        </w:rPr>
        <w:t>Agencia de Cooperación Técnica Alemana.</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lang w:val="es-MX"/>
        </w:rPr>
        <w:t>Km.</w:t>
      </w:r>
      <w:r w:rsidRPr="006A352E">
        <w:rPr>
          <w:rFonts w:ascii="Arial" w:hAnsi="Arial" w:cs="Arial"/>
          <w:sz w:val="22"/>
          <w:szCs w:val="22"/>
          <w:lang w:val="es-MX"/>
        </w:rPr>
        <w:t>: Kilómetro</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Km/h</w:t>
      </w:r>
      <w:r w:rsidRPr="006A352E">
        <w:rPr>
          <w:rFonts w:ascii="Arial" w:hAnsi="Arial" w:cs="Arial"/>
          <w:sz w:val="22"/>
          <w:szCs w:val="22"/>
        </w:rPr>
        <w:t>: Kilómetro por hora.</w:t>
      </w:r>
    </w:p>
    <w:p w:rsidR="00197AA0" w:rsidRPr="006A352E" w:rsidRDefault="00197AA0" w:rsidP="00CA797C">
      <w:pPr>
        <w:spacing w:line="360" w:lineRule="auto"/>
        <w:jc w:val="both"/>
        <w:rPr>
          <w:rFonts w:ascii="Arial" w:hAnsi="Arial" w:cs="Arial"/>
          <w:bCs/>
          <w:sz w:val="22"/>
          <w:szCs w:val="22"/>
          <w:lang w:val="es-CL"/>
        </w:rPr>
      </w:pPr>
      <w:r w:rsidRPr="006A352E">
        <w:rPr>
          <w:rFonts w:ascii="Arial" w:hAnsi="Arial" w:cs="Arial"/>
          <w:b/>
          <w:sz w:val="22"/>
          <w:szCs w:val="22"/>
        </w:rPr>
        <w:t>M</w:t>
      </w:r>
      <w:r w:rsidRPr="006A352E">
        <w:rPr>
          <w:rFonts w:ascii="Arial" w:hAnsi="Arial" w:cs="Arial"/>
          <w:sz w:val="22"/>
          <w:szCs w:val="22"/>
        </w:rPr>
        <w:t>: Metro.</w:t>
      </w:r>
    </w:p>
    <w:p w:rsidR="00197AA0" w:rsidRPr="006A352E" w:rsidRDefault="00197AA0" w:rsidP="00CA797C">
      <w:pPr>
        <w:spacing w:line="360" w:lineRule="auto"/>
        <w:jc w:val="both"/>
        <w:rPr>
          <w:rFonts w:ascii="Arial" w:hAnsi="Arial" w:cs="Arial"/>
          <w:sz w:val="22"/>
          <w:szCs w:val="22"/>
          <w:lang w:val="es-CL"/>
        </w:rPr>
      </w:pPr>
      <w:r w:rsidRPr="006A352E">
        <w:rPr>
          <w:rFonts w:ascii="Arial" w:hAnsi="Arial" w:cs="Arial"/>
          <w:b/>
          <w:sz w:val="22"/>
          <w:szCs w:val="22"/>
        </w:rPr>
        <w:t>MARPOL</w:t>
      </w:r>
      <w:r w:rsidRPr="006A352E">
        <w:rPr>
          <w:rFonts w:ascii="Arial" w:hAnsi="Arial" w:cs="Arial"/>
          <w:sz w:val="22"/>
          <w:szCs w:val="22"/>
        </w:rPr>
        <w:t>:</w:t>
      </w:r>
      <w:r>
        <w:rPr>
          <w:rFonts w:ascii="Arial" w:hAnsi="Arial" w:cs="Arial"/>
          <w:sz w:val="22"/>
          <w:szCs w:val="22"/>
        </w:rPr>
        <w:t xml:space="preserve"> </w:t>
      </w:r>
      <w:r w:rsidRPr="006A352E">
        <w:rPr>
          <w:rFonts w:ascii="Arial" w:hAnsi="Arial" w:cs="Arial"/>
          <w:sz w:val="22"/>
          <w:szCs w:val="22"/>
          <w:lang w:val="es-CL"/>
        </w:rPr>
        <w:t>Convenio internacional para prevenir la contaminación por los buques.</w:t>
      </w:r>
    </w:p>
    <w:p w:rsidR="00197AA0" w:rsidRPr="006A352E" w:rsidRDefault="00197AA0" w:rsidP="00CA797C">
      <w:pPr>
        <w:spacing w:line="360" w:lineRule="auto"/>
        <w:jc w:val="both"/>
        <w:rPr>
          <w:rFonts w:ascii="Arial" w:hAnsi="Arial" w:cs="Arial"/>
          <w:b/>
          <w:sz w:val="22"/>
          <w:szCs w:val="22"/>
          <w:lang w:val="es-CL"/>
        </w:rPr>
      </w:pPr>
      <w:r w:rsidRPr="006A352E">
        <w:rPr>
          <w:rFonts w:ascii="Arial" w:hAnsi="Arial" w:cs="Arial"/>
          <w:b/>
          <w:sz w:val="22"/>
          <w:szCs w:val="22"/>
        </w:rPr>
        <w:t>MEPC</w:t>
      </w:r>
      <w:r w:rsidRPr="006A352E">
        <w:rPr>
          <w:rFonts w:ascii="Arial" w:hAnsi="Arial" w:cs="Arial"/>
          <w:sz w:val="22"/>
          <w:szCs w:val="22"/>
        </w:rPr>
        <w:t>:</w:t>
      </w:r>
      <w:r>
        <w:rPr>
          <w:rFonts w:ascii="Arial" w:hAnsi="Arial" w:cs="Arial"/>
          <w:sz w:val="22"/>
          <w:szCs w:val="22"/>
        </w:rPr>
        <w:t xml:space="preserve"> </w:t>
      </w:r>
      <w:r w:rsidRPr="006A352E">
        <w:rPr>
          <w:rFonts w:ascii="Arial" w:hAnsi="Arial" w:cs="Arial"/>
          <w:sz w:val="22"/>
          <w:szCs w:val="22"/>
        </w:rPr>
        <w:t>Comité de Pr</w:t>
      </w:r>
      <w:r>
        <w:rPr>
          <w:rFonts w:ascii="Arial" w:hAnsi="Arial" w:cs="Arial"/>
          <w:sz w:val="22"/>
          <w:szCs w:val="22"/>
        </w:rPr>
        <w:t>otección del Medio Ambiente Mari</w:t>
      </w:r>
      <w:r w:rsidRPr="006A352E">
        <w:rPr>
          <w:rFonts w:ascii="Arial" w:hAnsi="Arial" w:cs="Arial"/>
          <w:sz w:val="22"/>
          <w:szCs w:val="22"/>
        </w:rPr>
        <w:t>no</w:t>
      </w:r>
    </w:p>
    <w:p w:rsidR="00197AA0" w:rsidRPr="006A352E" w:rsidRDefault="00197AA0" w:rsidP="00CA797C">
      <w:pPr>
        <w:autoSpaceDE w:val="0"/>
        <w:spacing w:line="360" w:lineRule="auto"/>
        <w:jc w:val="both"/>
        <w:rPr>
          <w:rFonts w:ascii="Arial" w:hAnsi="Arial" w:cs="Arial"/>
          <w:sz w:val="22"/>
          <w:szCs w:val="22"/>
          <w:lang w:val="es-SV"/>
        </w:rPr>
      </w:pPr>
      <w:r w:rsidRPr="006A352E">
        <w:rPr>
          <w:rFonts w:ascii="Arial" w:hAnsi="Arial" w:cs="Arial"/>
          <w:b/>
          <w:sz w:val="22"/>
          <w:szCs w:val="22"/>
          <w:lang w:val="es-SV"/>
        </w:rPr>
        <w:t>MOP</w:t>
      </w:r>
      <w:r>
        <w:rPr>
          <w:rFonts w:ascii="Arial" w:hAnsi="Arial" w:cs="Arial"/>
          <w:sz w:val="22"/>
          <w:szCs w:val="22"/>
          <w:lang w:val="es-SV"/>
        </w:rPr>
        <w:t>: Ministerio de Obras Públicas</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NOAA</w:t>
      </w:r>
      <w:r w:rsidRPr="006A352E">
        <w:rPr>
          <w:rFonts w:ascii="Arial" w:hAnsi="Arial" w:cs="Arial"/>
          <w:sz w:val="22"/>
          <w:szCs w:val="22"/>
        </w:rPr>
        <w:t>:</w:t>
      </w:r>
      <w:r>
        <w:rPr>
          <w:rFonts w:ascii="Arial" w:hAnsi="Arial" w:cs="Arial"/>
          <w:sz w:val="22"/>
          <w:szCs w:val="22"/>
        </w:rPr>
        <w:t xml:space="preserve"> </w:t>
      </w:r>
      <w:r w:rsidRPr="006A352E">
        <w:rPr>
          <w:rFonts w:ascii="Arial" w:hAnsi="Arial" w:cs="Arial"/>
          <w:sz w:val="22"/>
          <w:szCs w:val="22"/>
        </w:rPr>
        <w:t xml:space="preserve">Administración </w:t>
      </w:r>
      <w:r>
        <w:rPr>
          <w:rFonts w:ascii="Arial" w:hAnsi="Arial" w:cs="Arial"/>
          <w:sz w:val="22"/>
          <w:szCs w:val="22"/>
        </w:rPr>
        <w:t>Nacional Oceánica y Atmosférica</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O2</w:t>
      </w:r>
      <w:r w:rsidRPr="006A352E">
        <w:rPr>
          <w:rFonts w:ascii="Arial" w:hAnsi="Arial" w:cs="Arial"/>
          <w:sz w:val="22"/>
          <w:szCs w:val="22"/>
        </w:rPr>
        <w:t>: Oxido</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lang w:val="es-CL"/>
        </w:rPr>
        <w:t>OILPOL</w:t>
      </w:r>
      <w:r w:rsidRPr="006A352E">
        <w:rPr>
          <w:rFonts w:ascii="Arial" w:hAnsi="Arial" w:cs="Arial"/>
          <w:sz w:val="22"/>
          <w:szCs w:val="22"/>
          <w:lang w:val="es-CL"/>
        </w:rPr>
        <w:t xml:space="preserve">: </w:t>
      </w:r>
      <w:r w:rsidRPr="006A352E">
        <w:rPr>
          <w:rFonts w:ascii="Arial" w:hAnsi="Arial" w:cs="Arial"/>
          <w:sz w:val="22"/>
          <w:szCs w:val="22"/>
        </w:rPr>
        <w:t>Convenio internacional para prevenir la contaminación de las aguas de</w:t>
      </w:r>
      <w:r>
        <w:rPr>
          <w:rFonts w:ascii="Arial" w:hAnsi="Arial" w:cs="Arial"/>
          <w:sz w:val="22"/>
          <w:szCs w:val="22"/>
        </w:rPr>
        <w:t>l mar por hidrocarburos de 1954</w:t>
      </w:r>
    </w:p>
    <w:p w:rsidR="00197AA0" w:rsidRPr="006A352E" w:rsidRDefault="00197AA0" w:rsidP="00CA797C">
      <w:pPr>
        <w:spacing w:line="360" w:lineRule="auto"/>
        <w:jc w:val="both"/>
        <w:rPr>
          <w:rFonts w:ascii="Arial" w:hAnsi="Arial" w:cs="Arial"/>
          <w:sz w:val="22"/>
          <w:szCs w:val="22"/>
          <w:lang w:val="es-CL"/>
        </w:rPr>
      </w:pPr>
      <w:r w:rsidRPr="006A352E">
        <w:rPr>
          <w:rFonts w:ascii="Arial" w:hAnsi="Arial" w:cs="Arial"/>
          <w:b/>
          <w:sz w:val="22"/>
          <w:szCs w:val="22"/>
          <w:lang w:val="es-CL"/>
        </w:rPr>
        <w:t>OMI</w:t>
      </w:r>
      <w:r w:rsidRPr="006A352E">
        <w:rPr>
          <w:rFonts w:ascii="Arial" w:hAnsi="Arial" w:cs="Arial"/>
          <w:sz w:val="22"/>
          <w:szCs w:val="22"/>
          <w:lang w:val="es-CL"/>
        </w:rPr>
        <w:t>: Orga</w:t>
      </w:r>
      <w:r>
        <w:rPr>
          <w:rFonts w:ascii="Arial" w:hAnsi="Arial" w:cs="Arial"/>
          <w:sz w:val="22"/>
          <w:szCs w:val="22"/>
          <w:lang w:val="es-CL"/>
        </w:rPr>
        <w:t>nización Marítima Internacional</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OPRC</w:t>
      </w:r>
      <w:r w:rsidRPr="006A352E">
        <w:rPr>
          <w:rFonts w:ascii="Arial" w:hAnsi="Arial" w:cs="Arial"/>
          <w:sz w:val="22"/>
          <w:szCs w:val="22"/>
        </w:rPr>
        <w:t>: Convenio Internacional sobre cooperación, preparación y lucha contra la contamin</w:t>
      </w:r>
      <w:r>
        <w:rPr>
          <w:rFonts w:ascii="Arial" w:hAnsi="Arial" w:cs="Arial"/>
          <w:sz w:val="22"/>
          <w:szCs w:val="22"/>
        </w:rPr>
        <w:t>ación por hidrocarburos de 1990</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PBIP</w:t>
      </w:r>
      <w:r w:rsidRPr="006A352E">
        <w:rPr>
          <w:rFonts w:ascii="Arial" w:hAnsi="Arial" w:cs="Arial"/>
          <w:sz w:val="22"/>
          <w:szCs w:val="22"/>
        </w:rPr>
        <w:t xml:space="preserve">: Código Internacional para la protección de los buques y </w:t>
      </w:r>
      <w:r>
        <w:rPr>
          <w:rFonts w:ascii="Arial" w:hAnsi="Arial" w:cs="Arial"/>
          <w:sz w:val="22"/>
          <w:szCs w:val="22"/>
        </w:rPr>
        <w:t>de las instalaciones portuarias</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PPIP</w:t>
      </w:r>
      <w:r w:rsidRPr="006A352E">
        <w:rPr>
          <w:rFonts w:ascii="Arial" w:hAnsi="Arial" w:cs="Arial"/>
          <w:sz w:val="22"/>
          <w:szCs w:val="22"/>
        </w:rPr>
        <w:t xml:space="preserve">: </w:t>
      </w:r>
      <w:r w:rsidRPr="006A352E">
        <w:rPr>
          <w:rFonts w:ascii="Arial" w:hAnsi="Arial" w:cs="Arial"/>
          <w:bCs/>
          <w:sz w:val="22"/>
          <w:szCs w:val="22"/>
        </w:rPr>
        <w:t>Plan de Protecc</w:t>
      </w:r>
      <w:r>
        <w:rPr>
          <w:rFonts w:ascii="Arial" w:hAnsi="Arial" w:cs="Arial"/>
          <w:bCs/>
          <w:sz w:val="22"/>
          <w:szCs w:val="22"/>
        </w:rPr>
        <w:t>ión de la Instalación Portuaria</w:t>
      </w:r>
    </w:p>
    <w:p w:rsidR="00197AA0" w:rsidRPr="006A352E" w:rsidRDefault="00197AA0" w:rsidP="00CA797C">
      <w:pPr>
        <w:spacing w:line="360" w:lineRule="auto"/>
        <w:jc w:val="both"/>
        <w:rPr>
          <w:rStyle w:val="longtext"/>
          <w:rFonts w:ascii="Arial" w:hAnsi="Arial" w:cs="Arial"/>
          <w:sz w:val="22"/>
          <w:szCs w:val="22"/>
        </w:rPr>
      </w:pPr>
      <w:r w:rsidRPr="006A352E">
        <w:rPr>
          <w:rFonts w:ascii="Arial" w:hAnsi="Arial" w:cs="Arial"/>
          <w:b/>
          <w:sz w:val="22"/>
          <w:szCs w:val="22"/>
        </w:rPr>
        <w:t>PSC</w:t>
      </w:r>
      <w:r w:rsidRPr="006A352E">
        <w:rPr>
          <w:rFonts w:ascii="Arial" w:hAnsi="Arial" w:cs="Arial"/>
          <w:sz w:val="22"/>
          <w:szCs w:val="22"/>
        </w:rPr>
        <w:t xml:space="preserve">: </w:t>
      </w:r>
      <w:r>
        <w:rPr>
          <w:rStyle w:val="longtext"/>
          <w:rFonts w:ascii="Arial" w:hAnsi="Arial" w:cs="Arial"/>
          <w:sz w:val="22"/>
          <w:szCs w:val="22"/>
        </w:rPr>
        <w:t>Estado Rector del Puerto</w:t>
      </w:r>
    </w:p>
    <w:p w:rsidR="00197AA0" w:rsidRPr="006A352E" w:rsidRDefault="00197AA0" w:rsidP="00CA797C">
      <w:pPr>
        <w:spacing w:line="360" w:lineRule="auto"/>
        <w:jc w:val="both"/>
        <w:rPr>
          <w:rFonts w:ascii="Arial" w:hAnsi="Arial" w:cs="Arial"/>
          <w:b/>
          <w:sz w:val="22"/>
          <w:szCs w:val="22"/>
        </w:rPr>
      </w:pPr>
      <w:r w:rsidRPr="006A352E">
        <w:rPr>
          <w:rFonts w:ascii="Arial" w:hAnsi="Arial" w:cs="Arial"/>
          <w:b/>
          <w:sz w:val="22"/>
          <w:szCs w:val="22"/>
        </w:rPr>
        <w:t>RAC</w:t>
      </w:r>
      <w:r w:rsidRPr="006A352E">
        <w:rPr>
          <w:rFonts w:ascii="Arial" w:hAnsi="Arial" w:cs="Arial"/>
          <w:sz w:val="22"/>
          <w:szCs w:val="22"/>
        </w:rPr>
        <w:t>: Centro de Actividad Regional</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REMPEITC-Caribe</w:t>
      </w:r>
      <w:r w:rsidRPr="006A352E">
        <w:rPr>
          <w:rFonts w:ascii="Arial" w:hAnsi="Arial" w:cs="Arial"/>
          <w:sz w:val="22"/>
          <w:szCs w:val="22"/>
        </w:rPr>
        <w:t>: Regional de Contaminación Marina Información de Emergencia y Centro de Ca</w:t>
      </w:r>
      <w:r>
        <w:rPr>
          <w:rFonts w:ascii="Arial" w:hAnsi="Arial" w:cs="Arial"/>
          <w:sz w:val="22"/>
          <w:szCs w:val="22"/>
        </w:rPr>
        <w:t>pacitación para el Gran Caribe</w:t>
      </w:r>
    </w:p>
    <w:p w:rsidR="00197AA0" w:rsidRPr="006A352E" w:rsidRDefault="00197AA0" w:rsidP="00CA797C">
      <w:pPr>
        <w:spacing w:line="360" w:lineRule="auto"/>
        <w:jc w:val="both"/>
        <w:rPr>
          <w:rFonts w:ascii="Arial" w:hAnsi="Arial" w:cs="Arial"/>
          <w:sz w:val="22"/>
          <w:szCs w:val="22"/>
        </w:rPr>
      </w:pPr>
      <w:r w:rsidRPr="006A352E">
        <w:rPr>
          <w:rFonts w:ascii="Arial" w:hAnsi="Arial" w:cs="Arial"/>
          <w:b/>
          <w:sz w:val="22"/>
          <w:szCs w:val="22"/>
        </w:rPr>
        <w:t>ROCRAM-CA</w:t>
      </w:r>
      <w:r w:rsidRPr="006A352E">
        <w:rPr>
          <w:rFonts w:ascii="Arial" w:hAnsi="Arial" w:cs="Arial"/>
          <w:sz w:val="22"/>
          <w:szCs w:val="22"/>
        </w:rPr>
        <w:t>: Red Operativa de Cooperación Regional de Autoridades Marítimas de Centr</w:t>
      </w:r>
      <w:r>
        <w:rPr>
          <w:rFonts w:ascii="Arial" w:hAnsi="Arial" w:cs="Arial"/>
          <w:sz w:val="22"/>
          <w:szCs w:val="22"/>
        </w:rPr>
        <w:t>oamérica y República Dominicana</w:t>
      </w:r>
    </w:p>
    <w:p w:rsidR="00197AA0" w:rsidRPr="006A352E" w:rsidRDefault="00197AA0" w:rsidP="00CA797C">
      <w:pPr>
        <w:spacing w:line="360" w:lineRule="auto"/>
        <w:jc w:val="both"/>
        <w:rPr>
          <w:rFonts w:ascii="Arial" w:hAnsi="Arial" w:cs="Arial"/>
          <w:sz w:val="22"/>
          <w:szCs w:val="22"/>
          <w:lang w:val="es-CL"/>
        </w:rPr>
      </w:pPr>
      <w:r w:rsidRPr="006A352E">
        <w:rPr>
          <w:rFonts w:ascii="Arial" w:hAnsi="Arial" w:cs="Arial"/>
          <w:b/>
          <w:sz w:val="22"/>
          <w:szCs w:val="22"/>
        </w:rPr>
        <w:t>SDR</w:t>
      </w:r>
      <w:r w:rsidRPr="006A352E">
        <w:rPr>
          <w:rFonts w:ascii="Arial" w:hAnsi="Arial" w:cs="Arial"/>
          <w:sz w:val="22"/>
          <w:szCs w:val="22"/>
        </w:rPr>
        <w:t xml:space="preserve">: </w:t>
      </w:r>
      <w:r>
        <w:rPr>
          <w:rFonts w:ascii="Arial" w:hAnsi="Arial" w:cs="Arial"/>
          <w:sz w:val="22"/>
          <w:szCs w:val="22"/>
          <w:lang w:val="es-CL"/>
        </w:rPr>
        <w:t>Derecho Especial de Giro</w:t>
      </w:r>
    </w:p>
    <w:p w:rsidR="00197AA0" w:rsidRPr="006A352E" w:rsidRDefault="00197AA0" w:rsidP="00CA797C">
      <w:pPr>
        <w:pStyle w:val="Default"/>
        <w:spacing w:line="360" w:lineRule="auto"/>
        <w:jc w:val="both"/>
        <w:rPr>
          <w:color w:val="auto"/>
          <w:sz w:val="22"/>
          <w:szCs w:val="22"/>
          <w:lang w:val="es-MX"/>
        </w:rPr>
      </w:pPr>
      <w:r w:rsidRPr="006A352E">
        <w:rPr>
          <w:b/>
          <w:color w:val="auto"/>
          <w:sz w:val="22"/>
          <w:szCs w:val="22"/>
        </w:rPr>
        <w:t>SICA</w:t>
      </w:r>
      <w:r w:rsidRPr="006A352E">
        <w:rPr>
          <w:color w:val="auto"/>
          <w:sz w:val="22"/>
          <w:szCs w:val="22"/>
        </w:rPr>
        <w:t>: Sistema</w:t>
      </w:r>
      <w:r>
        <w:rPr>
          <w:color w:val="auto"/>
          <w:sz w:val="22"/>
          <w:szCs w:val="22"/>
        </w:rPr>
        <w:t xml:space="preserve"> de Integración Centroamericano</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SIECA</w:t>
      </w:r>
      <w:r w:rsidRPr="006A352E">
        <w:rPr>
          <w:rFonts w:ascii="Arial" w:hAnsi="Arial" w:cs="Arial"/>
          <w:sz w:val="22"/>
          <w:szCs w:val="22"/>
        </w:rPr>
        <w:t>: Sistema de Integración Económica Centroamericano.</w:t>
      </w:r>
    </w:p>
    <w:p w:rsidR="00197AA0" w:rsidRPr="006A352E" w:rsidRDefault="001D7573" w:rsidP="00CA797C">
      <w:pPr>
        <w:pStyle w:val="Textonotapie"/>
        <w:spacing w:line="360" w:lineRule="auto"/>
        <w:jc w:val="both"/>
        <w:rPr>
          <w:rFonts w:ascii="Arial" w:hAnsi="Arial" w:cs="Arial"/>
          <w:sz w:val="22"/>
          <w:szCs w:val="22"/>
        </w:rPr>
      </w:pPr>
      <w:r w:rsidRPr="001D7573">
        <w:rPr>
          <w:rFonts w:ascii="Arial" w:hAnsi="Arial" w:cs="Arial"/>
          <w:b/>
          <w:noProof/>
          <w:sz w:val="22"/>
          <w:szCs w:val="22"/>
          <w:lang w:eastAsia="es-ES"/>
        </w:rPr>
        <w:pict>
          <v:shape id="_x0000_s1031" type="#_x0000_t202" style="position:absolute;left:0;text-align:left;margin-left:218.35pt;margin-top:71.3pt;width:26.25pt;height:21pt;z-index:251662336;mso-height-percent:200;mso-height-percent:200;mso-width-relative:margin;mso-height-relative:margin" fillcolor="white [3212]" stroked="f">
            <v:textbox style="mso-fit-shape-to-text:t">
              <w:txbxContent>
                <w:p w:rsidR="00AC7D7B" w:rsidRDefault="00AC7D7B" w:rsidP="00D230BE">
                  <w:r>
                    <w:t>v</w:t>
                  </w:r>
                </w:p>
              </w:txbxContent>
            </v:textbox>
          </v:shape>
        </w:pict>
      </w:r>
      <w:r w:rsidR="00197AA0" w:rsidRPr="006A352E">
        <w:rPr>
          <w:rFonts w:ascii="Arial" w:hAnsi="Arial" w:cs="Arial"/>
          <w:b/>
          <w:sz w:val="22"/>
          <w:szCs w:val="22"/>
          <w:lang w:val="es-CL"/>
        </w:rPr>
        <w:t>SOLAS</w:t>
      </w:r>
      <w:r w:rsidR="00197AA0" w:rsidRPr="006A352E">
        <w:rPr>
          <w:rFonts w:ascii="Arial" w:hAnsi="Arial" w:cs="Arial"/>
          <w:sz w:val="22"/>
          <w:szCs w:val="22"/>
          <w:lang w:val="es-CL"/>
        </w:rPr>
        <w:t xml:space="preserve">: </w:t>
      </w:r>
      <w:r w:rsidR="00197AA0" w:rsidRPr="006A352E">
        <w:rPr>
          <w:rFonts w:ascii="Arial" w:hAnsi="Arial" w:cs="Arial"/>
          <w:sz w:val="22"/>
          <w:szCs w:val="22"/>
        </w:rPr>
        <w:t>Convenio internacional para la seguridad de la vida humana en el mar.</w:t>
      </w:r>
    </w:p>
    <w:p w:rsidR="00197AA0" w:rsidRPr="006A352E" w:rsidRDefault="00197AA0" w:rsidP="00CA797C">
      <w:pPr>
        <w:pStyle w:val="Textonotapie"/>
        <w:spacing w:line="360" w:lineRule="auto"/>
        <w:jc w:val="both"/>
        <w:rPr>
          <w:rFonts w:ascii="Arial" w:hAnsi="Arial" w:cs="Arial"/>
          <w:sz w:val="22"/>
          <w:szCs w:val="22"/>
        </w:rPr>
      </w:pPr>
      <w:r w:rsidRPr="006A352E">
        <w:rPr>
          <w:rStyle w:val="longtext"/>
          <w:rFonts w:ascii="Arial" w:hAnsi="Arial" w:cs="Arial"/>
          <w:b/>
          <w:sz w:val="22"/>
          <w:szCs w:val="22"/>
        </w:rPr>
        <w:lastRenderedPageBreak/>
        <w:t>SUA</w:t>
      </w:r>
      <w:r w:rsidRPr="006A352E">
        <w:rPr>
          <w:rStyle w:val="longtext"/>
          <w:rFonts w:ascii="Arial" w:hAnsi="Arial" w:cs="Arial"/>
          <w:sz w:val="22"/>
          <w:szCs w:val="22"/>
        </w:rPr>
        <w:t>:</w:t>
      </w:r>
      <w:r>
        <w:rPr>
          <w:rStyle w:val="longtext"/>
          <w:rFonts w:ascii="Arial" w:hAnsi="Arial" w:cs="Arial"/>
          <w:sz w:val="22"/>
          <w:szCs w:val="22"/>
        </w:rPr>
        <w:t xml:space="preserve"> </w:t>
      </w:r>
      <w:r w:rsidRPr="006A352E">
        <w:rPr>
          <w:rFonts w:ascii="Arial" w:hAnsi="Arial" w:cs="Arial"/>
          <w:sz w:val="22"/>
          <w:szCs w:val="22"/>
        </w:rPr>
        <w:t>Convenio para la represión de actos ilícitos contra la seguridad de la navegación marítima.</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TOVALOP</w:t>
      </w:r>
      <w:r w:rsidRPr="006A352E">
        <w:rPr>
          <w:rFonts w:ascii="Arial" w:hAnsi="Arial" w:cs="Arial"/>
          <w:sz w:val="22"/>
          <w:szCs w:val="22"/>
        </w:rPr>
        <w:t>: Acuerdo voluntario de los armadores de buques tanque relativo a la responsabilidad nacida de la contaminación por hidrocarburos.</w:t>
      </w:r>
    </w:p>
    <w:p w:rsidR="00197AA0" w:rsidRPr="006A352E" w:rsidRDefault="00197AA0" w:rsidP="00CA797C">
      <w:pPr>
        <w:pStyle w:val="Textonotapie"/>
        <w:spacing w:line="360" w:lineRule="auto"/>
        <w:jc w:val="both"/>
        <w:rPr>
          <w:rFonts w:ascii="Arial" w:hAnsi="Arial" w:cs="Arial"/>
          <w:sz w:val="22"/>
          <w:szCs w:val="22"/>
          <w:lang w:val="es-SV"/>
        </w:rPr>
      </w:pPr>
      <w:r w:rsidRPr="006A352E">
        <w:rPr>
          <w:rFonts w:ascii="Arial" w:hAnsi="Arial" w:cs="Arial"/>
          <w:b/>
          <w:sz w:val="22"/>
          <w:szCs w:val="22"/>
          <w:lang w:val="es-SV"/>
        </w:rPr>
        <w:t>TPM</w:t>
      </w:r>
      <w:r w:rsidRPr="006A352E">
        <w:rPr>
          <w:rFonts w:ascii="Arial" w:hAnsi="Arial" w:cs="Arial"/>
          <w:sz w:val="22"/>
          <w:szCs w:val="22"/>
          <w:lang w:val="es-SV"/>
        </w:rPr>
        <w:t>: Toneladas de Peso Muerto.</w:t>
      </w:r>
    </w:p>
    <w:p w:rsidR="00197AA0" w:rsidRPr="006A352E" w:rsidRDefault="00197AA0" w:rsidP="00CA797C">
      <w:pPr>
        <w:pStyle w:val="Textonotapie"/>
        <w:spacing w:line="360" w:lineRule="auto"/>
        <w:jc w:val="both"/>
        <w:rPr>
          <w:rFonts w:ascii="Arial" w:hAnsi="Arial" w:cs="Arial"/>
          <w:sz w:val="22"/>
          <w:szCs w:val="22"/>
          <w:lang w:val="es-SV"/>
        </w:rPr>
      </w:pPr>
      <w:r w:rsidRPr="006A352E">
        <w:rPr>
          <w:rFonts w:ascii="Arial" w:hAnsi="Arial" w:cs="Arial"/>
          <w:b/>
          <w:sz w:val="22"/>
          <w:szCs w:val="22"/>
          <w:lang w:val="es-SV"/>
        </w:rPr>
        <w:t>UE</w:t>
      </w:r>
      <w:r w:rsidRPr="006A352E">
        <w:rPr>
          <w:rFonts w:ascii="Arial" w:hAnsi="Arial" w:cs="Arial"/>
          <w:sz w:val="22"/>
          <w:szCs w:val="22"/>
          <w:lang w:val="es-SV"/>
        </w:rPr>
        <w:t xml:space="preserve">: </w:t>
      </w:r>
      <w:r w:rsidRPr="006A352E">
        <w:rPr>
          <w:rFonts w:ascii="Arial" w:hAnsi="Arial" w:cs="Arial"/>
          <w:sz w:val="22"/>
          <w:szCs w:val="22"/>
        </w:rPr>
        <w:t>Unión Europea</w:t>
      </w:r>
      <w:r w:rsidRPr="006A352E">
        <w:rPr>
          <w:rFonts w:ascii="Arial" w:hAnsi="Arial" w:cs="Arial"/>
          <w:sz w:val="22"/>
          <w:szCs w:val="22"/>
          <w:lang w:val="es-SV"/>
        </w:rPr>
        <w:t>.</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UNESCO</w:t>
      </w:r>
      <w:r w:rsidRPr="006A352E">
        <w:rPr>
          <w:rFonts w:ascii="Arial" w:hAnsi="Arial" w:cs="Arial"/>
          <w:sz w:val="22"/>
          <w:szCs w:val="22"/>
        </w:rPr>
        <w:t>: Organización de las Naciones Unidas para la Educación, la Ciencia y la Cultura.</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UNCTAD</w:t>
      </w:r>
      <w:r w:rsidRPr="006A352E">
        <w:rPr>
          <w:rFonts w:ascii="Arial" w:hAnsi="Arial" w:cs="Arial"/>
          <w:sz w:val="22"/>
          <w:szCs w:val="22"/>
        </w:rPr>
        <w:t>: Conferencia de las Naciones Unidas sobre Comercio y Desarrollo.</w:t>
      </w:r>
    </w:p>
    <w:p w:rsidR="00197AA0" w:rsidRPr="006A352E" w:rsidRDefault="00197AA0" w:rsidP="00CA797C">
      <w:pPr>
        <w:pStyle w:val="Textonotapie"/>
        <w:spacing w:line="360" w:lineRule="auto"/>
        <w:jc w:val="both"/>
        <w:rPr>
          <w:rFonts w:ascii="Arial" w:hAnsi="Arial" w:cs="Arial"/>
          <w:sz w:val="22"/>
          <w:szCs w:val="22"/>
          <w:lang w:val="es-MX"/>
        </w:rPr>
      </w:pPr>
      <w:r w:rsidRPr="006A352E">
        <w:rPr>
          <w:rFonts w:ascii="Arial" w:hAnsi="Arial" w:cs="Arial"/>
          <w:b/>
          <w:sz w:val="22"/>
          <w:szCs w:val="22"/>
          <w:lang w:val="es-SV"/>
        </w:rPr>
        <w:t>ZEE</w:t>
      </w:r>
      <w:r w:rsidRPr="006A352E">
        <w:rPr>
          <w:rFonts w:ascii="Arial" w:hAnsi="Arial" w:cs="Arial"/>
          <w:sz w:val="22"/>
          <w:szCs w:val="22"/>
          <w:lang w:val="es-SV"/>
        </w:rPr>
        <w:t xml:space="preserve">: </w:t>
      </w:r>
      <w:r w:rsidRPr="006A352E">
        <w:rPr>
          <w:rFonts w:ascii="Arial" w:hAnsi="Arial" w:cs="Arial"/>
          <w:sz w:val="22"/>
          <w:szCs w:val="22"/>
        </w:rPr>
        <w:t>Zona Económica Exclusiva.</w:t>
      </w:r>
    </w:p>
    <w:p w:rsidR="00197AA0" w:rsidRDefault="00197AA0" w:rsidP="00CA797C">
      <w:pPr>
        <w:spacing w:line="360" w:lineRule="auto"/>
        <w:jc w:val="both"/>
        <w:rPr>
          <w:rFonts w:ascii="Arial" w:hAnsi="Arial" w:cs="Arial"/>
          <w:sz w:val="22"/>
          <w:szCs w:val="22"/>
          <w:lang w:val="es-MX"/>
        </w:rPr>
      </w:pPr>
    </w:p>
    <w:p w:rsidR="00197AA0" w:rsidRPr="006A352E" w:rsidRDefault="00197AA0" w:rsidP="00CA797C">
      <w:pPr>
        <w:spacing w:line="360" w:lineRule="auto"/>
        <w:jc w:val="both"/>
        <w:rPr>
          <w:rFonts w:ascii="Arial" w:hAnsi="Arial" w:cs="Arial"/>
          <w:sz w:val="22"/>
          <w:szCs w:val="22"/>
          <w:lang w:val="es-MX"/>
        </w:rPr>
      </w:pPr>
    </w:p>
    <w:p w:rsidR="00197AA0" w:rsidRDefault="00197AA0" w:rsidP="00CA797C">
      <w:pPr>
        <w:jc w:val="center"/>
        <w:rPr>
          <w:rFonts w:ascii="Arial" w:hAnsi="Arial" w:cs="Arial"/>
          <w:b/>
          <w:sz w:val="22"/>
          <w:szCs w:val="22"/>
        </w:rPr>
      </w:pPr>
      <w:r>
        <w:rPr>
          <w:rFonts w:ascii="Arial" w:hAnsi="Arial" w:cs="Arial"/>
          <w:b/>
          <w:sz w:val="22"/>
          <w:szCs w:val="22"/>
        </w:rPr>
        <w:t>SIGLAS Y ACRÓNIMOS EN INGL</w:t>
      </w:r>
      <w:r w:rsidRPr="00486AD7">
        <w:rPr>
          <w:rFonts w:ascii="Arial" w:hAnsi="Arial" w:cs="Arial"/>
          <w:b/>
          <w:sz w:val="22"/>
          <w:szCs w:val="22"/>
        </w:rPr>
        <w:t>É</w:t>
      </w:r>
      <w:r w:rsidRPr="006A352E">
        <w:rPr>
          <w:rFonts w:ascii="Arial" w:hAnsi="Arial" w:cs="Arial"/>
          <w:b/>
          <w:sz w:val="22"/>
          <w:szCs w:val="22"/>
        </w:rPr>
        <w:t>S</w:t>
      </w:r>
    </w:p>
    <w:p w:rsidR="00197AA0" w:rsidRPr="006A352E" w:rsidRDefault="00197AA0" w:rsidP="00CA797C">
      <w:pPr>
        <w:jc w:val="center"/>
        <w:rPr>
          <w:rFonts w:ascii="Arial" w:hAnsi="Arial" w:cs="Arial"/>
          <w:b/>
          <w:sz w:val="22"/>
          <w:szCs w:val="22"/>
        </w:rPr>
      </w:pPr>
    </w:p>
    <w:p w:rsidR="00197AA0" w:rsidRPr="006A352E" w:rsidRDefault="00197AA0" w:rsidP="00CA797C">
      <w:pPr>
        <w:spacing w:line="360" w:lineRule="auto"/>
        <w:jc w:val="both"/>
        <w:rPr>
          <w:rFonts w:ascii="Arial" w:hAnsi="Arial" w:cs="Arial"/>
          <w:b/>
          <w:sz w:val="22"/>
          <w:szCs w:val="22"/>
        </w:rPr>
      </w:pPr>
    </w:p>
    <w:p w:rsidR="00197AA0" w:rsidRPr="006A352E" w:rsidRDefault="00197AA0" w:rsidP="00CA797C">
      <w:pPr>
        <w:spacing w:line="360" w:lineRule="auto"/>
        <w:jc w:val="both"/>
        <w:rPr>
          <w:rFonts w:ascii="Arial" w:hAnsi="Arial" w:cs="Arial"/>
          <w:b/>
          <w:sz w:val="22"/>
          <w:szCs w:val="22"/>
          <w:lang w:val="en-US"/>
        </w:rPr>
      </w:pPr>
      <w:r w:rsidRPr="006A352E">
        <w:rPr>
          <w:rFonts w:ascii="Arial" w:hAnsi="Arial" w:cs="Arial"/>
          <w:b/>
          <w:sz w:val="22"/>
          <w:szCs w:val="22"/>
          <w:lang w:val="en-US"/>
        </w:rPr>
        <w:t>ABS</w:t>
      </w:r>
      <w:r w:rsidRPr="006A352E">
        <w:rPr>
          <w:rFonts w:ascii="Arial" w:hAnsi="Arial" w:cs="Arial"/>
          <w:sz w:val="22"/>
          <w:szCs w:val="22"/>
          <w:lang w:val="en-US"/>
        </w:rPr>
        <w:t>: American Bureau of Shipping</w:t>
      </w:r>
    </w:p>
    <w:p w:rsidR="00197AA0"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BBC</w:t>
      </w:r>
      <w:r w:rsidRPr="006A352E">
        <w:rPr>
          <w:rFonts w:ascii="Arial" w:hAnsi="Arial" w:cs="Arial"/>
          <w:sz w:val="22"/>
          <w:szCs w:val="22"/>
          <w:lang w:val="en-US"/>
        </w:rPr>
        <w:t>: British Broadcasting Corporation</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CIP</w:t>
      </w:r>
      <w:r w:rsidRPr="006A352E">
        <w:rPr>
          <w:rFonts w:ascii="Arial" w:hAnsi="Arial" w:cs="Arial"/>
          <w:sz w:val="22"/>
          <w:szCs w:val="22"/>
        </w:rPr>
        <w:t>: Com</w:t>
      </w:r>
      <w:r>
        <w:rPr>
          <w:rFonts w:ascii="Arial" w:hAnsi="Arial" w:cs="Arial"/>
          <w:sz w:val="22"/>
          <w:szCs w:val="22"/>
        </w:rPr>
        <w:t>isión Interamericana de Puertos</w:t>
      </w:r>
    </w:p>
    <w:p w:rsidR="00197AA0" w:rsidRPr="006A352E" w:rsidRDefault="00197AA0" w:rsidP="00CA797C">
      <w:pPr>
        <w:pStyle w:val="Textonotapie"/>
        <w:spacing w:line="360" w:lineRule="auto"/>
        <w:jc w:val="both"/>
        <w:rPr>
          <w:rFonts w:ascii="Arial" w:hAnsi="Arial" w:cs="Arial"/>
          <w:sz w:val="22"/>
          <w:szCs w:val="22"/>
        </w:rPr>
      </w:pPr>
      <w:r w:rsidRPr="006A352E">
        <w:rPr>
          <w:rFonts w:ascii="Arial" w:hAnsi="Arial" w:cs="Arial"/>
          <w:b/>
          <w:sz w:val="22"/>
          <w:szCs w:val="22"/>
        </w:rPr>
        <w:t>CMI</w:t>
      </w:r>
      <w:r>
        <w:rPr>
          <w:rFonts w:ascii="Arial" w:hAnsi="Arial" w:cs="Arial"/>
          <w:sz w:val="22"/>
          <w:szCs w:val="22"/>
        </w:rPr>
        <w:t>: Comité Marítimo Internacional</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EMSA</w:t>
      </w:r>
      <w:r w:rsidRPr="006A352E">
        <w:rPr>
          <w:rFonts w:ascii="Arial" w:hAnsi="Arial" w:cs="Arial"/>
          <w:sz w:val="22"/>
          <w:szCs w:val="22"/>
          <w:lang w:val="en-US"/>
        </w:rPr>
        <w:t xml:space="preserve">: European Maritime Safety Agency </w:t>
      </w:r>
    </w:p>
    <w:p w:rsidR="00197AA0" w:rsidRPr="006A352E" w:rsidRDefault="00197AA0" w:rsidP="00CA797C">
      <w:pPr>
        <w:pStyle w:val="Textonotapie"/>
        <w:spacing w:line="360" w:lineRule="auto"/>
        <w:jc w:val="both"/>
        <w:rPr>
          <w:rFonts w:ascii="Arial" w:hAnsi="Arial" w:cs="Arial"/>
          <w:sz w:val="22"/>
          <w:szCs w:val="22"/>
          <w:lang w:val="en-US"/>
        </w:rPr>
      </w:pPr>
      <w:r w:rsidRPr="006A352E">
        <w:rPr>
          <w:rFonts w:ascii="Arial" w:hAnsi="Arial" w:cs="Arial"/>
          <w:b/>
          <w:sz w:val="22"/>
          <w:szCs w:val="22"/>
          <w:lang w:val="en-US"/>
        </w:rPr>
        <w:t>EPA</w:t>
      </w:r>
      <w:r w:rsidRPr="006A352E">
        <w:rPr>
          <w:rFonts w:ascii="Arial" w:hAnsi="Arial" w:cs="Arial"/>
          <w:sz w:val="22"/>
          <w:szCs w:val="22"/>
          <w:lang w:val="en-US"/>
        </w:rPr>
        <w:t>: Environmental Protection Agency</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ESSO</w:t>
      </w:r>
      <w:r w:rsidRPr="006A352E">
        <w:rPr>
          <w:rFonts w:ascii="Arial" w:hAnsi="Arial" w:cs="Arial"/>
          <w:sz w:val="22"/>
          <w:szCs w:val="22"/>
          <w:lang w:val="en-US"/>
        </w:rPr>
        <w:t>: Eastern Seaboard Standard Oil</w:t>
      </w:r>
    </w:p>
    <w:p w:rsidR="00197AA0" w:rsidRPr="006A352E" w:rsidRDefault="00197AA0" w:rsidP="00CA797C">
      <w:pPr>
        <w:pStyle w:val="Textonotapie"/>
        <w:spacing w:line="360" w:lineRule="auto"/>
        <w:jc w:val="both"/>
        <w:rPr>
          <w:rFonts w:ascii="Arial" w:hAnsi="Arial" w:cs="Arial"/>
          <w:color w:val="000000"/>
          <w:sz w:val="22"/>
          <w:szCs w:val="22"/>
          <w:lang w:val="en-US"/>
        </w:rPr>
      </w:pPr>
      <w:r w:rsidRPr="006A352E">
        <w:rPr>
          <w:rFonts w:ascii="Arial" w:hAnsi="Arial" w:cs="Arial"/>
          <w:b/>
          <w:color w:val="000000"/>
          <w:sz w:val="22"/>
          <w:szCs w:val="22"/>
          <w:lang w:val="en-US"/>
        </w:rPr>
        <w:t>Hp</w:t>
      </w:r>
      <w:r w:rsidRPr="006A352E">
        <w:rPr>
          <w:rFonts w:ascii="Arial" w:hAnsi="Arial" w:cs="Arial"/>
          <w:color w:val="000000"/>
          <w:sz w:val="22"/>
          <w:szCs w:val="22"/>
          <w:lang w:val="en-US"/>
        </w:rPr>
        <w:t>: Horse power</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IFC</w:t>
      </w:r>
      <w:r w:rsidRPr="006A352E">
        <w:rPr>
          <w:rFonts w:ascii="Arial" w:hAnsi="Arial" w:cs="Arial"/>
          <w:sz w:val="22"/>
          <w:szCs w:val="22"/>
          <w:lang w:val="en-US"/>
        </w:rPr>
        <w:t>: International Financial Corporation</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ILA</w:t>
      </w:r>
      <w:r w:rsidRPr="006A352E">
        <w:rPr>
          <w:rFonts w:ascii="Arial" w:hAnsi="Arial" w:cs="Arial"/>
          <w:sz w:val="22"/>
          <w:szCs w:val="22"/>
          <w:lang w:val="en-US"/>
        </w:rPr>
        <w:t>: International Law Association</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IRCA</w:t>
      </w:r>
      <w:r w:rsidRPr="006A352E">
        <w:rPr>
          <w:rFonts w:ascii="Arial" w:hAnsi="Arial" w:cs="Arial"/>
          <w:sz w:val="22"/>
          <w:szCs w:val="22"/>
          <w:lang w:val="en-US"/>
        </w:rPr>
        <w:t>: International</w:t>
      </w:r>
      <w:r>
        <w:rPr>
          <w:rFonts w:ascii="Arial" w:hAnsi="Arial" w:cs="Arial"/>
          <w:sz w:val="22"/>
          <w:szCs w:val="22"/>
          <w:lang w:val="en-US"/>
        </w:rPr>
        <w:t xml:space="preserve"> Railway of Central America</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JBIC</w:t>
      </w:r>
      <w:r w:rsidRPr="006A352E">
        <w:rPr>
          <w:rFonts w:ascii="Arial" w:hAnsi="Arial" w:cs="Arial"/>
          <w:sz w:val="22"/>
          <w:szCs w:val="22"/>
          <w:lang w:val="en-US"/>
        </w:rPr>
        <w:t>: Japanese Bank International Cooperation</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JICA</w:t>
      </w:r>
      <w:r w:rsidRPr="006A352E">
        <w:rPr>
          <w:rFonts w:ascii="Arial" w:hAnsi="Arial" w:cs="Arial"/>
          <w:sz w:val="22"/>
          <w:szCs w:val="22"/>
          <w:lang w:val="en-US"/>
        </w:rPr>
        <w:t>: Japanese International Cooperation Agency</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NTSB</w:t>
      </w:r>
      <w:r w:rsidRPr="006A352E">
        <w:rPr>
          <w:rFonts w:ascii="Arial" w:hAnsi="Arial" w:cs="Arial"/>
          <w:sz w:val="22"/>
          <w:szCs w:val="22"/>
          <w:lang w:val="en-US"/>
        </w:rPr>
        <w:t>: National Transportation Safety Board.</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OPA</w:t>
      </w:r>
      <w:r w:rsidRPr="006A352E">
        <w:rPr>
          <w:rFonts w:ascii="Arial" w:hAnsi="Arial" w:cs="Arial"/>
          <w:sz w:val="22"/>
          <w:szCs w:val="22"/>
          <w:lang w:val="en-US"/>
        </w:rPr>
        <w:t>: Oil Pollution Act</w:t>
      </w:r>
    </w:p>
    <w:p w:rsidR="00197AA0" w:rsidRPr="006A352E" w:rsidRDefault="00197AA0" w:rsidP="00CA797C">
      <w:pPr>
        <w:spacing w:line="360" w:lineRule="auto"/>
        <w:jc w:val="both"/>
        <w:rPr>
          <w:rFonts w:ascii="Arial" w:hAnsi="Arial" w:cs="Arial"/>
          <w:sz w:val="22"/>
          <w:szCs w:val="22"/>
          <w:lang w:val="en-US"/>
        </w:rPr>
      </w:pPr>
      <w:r w:rsidRPr="006A352E">
        <w:rPr>
          <w:rFonts w:ascii="Arial" w:hAnsi="Arial" w:cs="Arial"/>
          <w:b/>
          <w:sz w:val="22"/>
          <w:szCs w:val="22"/>
          <w:lang w:val="en-US"/>
        </w:rPr>
        <w:t>RTG</w:t>
      </w:r>
      <w:r>
        <w:rPr>
          <w:rFonts w:ascii="Arial" w:hAnsi="Arial" w:cs="Arial"/>
          <w:sz w:val="22"/>
          <w:szCs w:val="22"/>
          <w:lang w:val="en-US"/>
        </w:rPr>
        <w:t>: Rubber Tyred Gantry</w:t>
      </w:r>
    </w:p>
    <w:p w:rsidR="00197AA0" w:rsidRPr="006A352E" w:rsidRDefault="00197AA0" w:rsidP="00CA797C">
      <w:pPr>
        <w:pStyle w:val="Default"/>
        <w:spacing w:line="360" w:lineRule="auto"/>
        <w:jc w:val="both"/>
        <w:rPr>
          <w:iCs/>
          <w:color w:val="auto"/>
          <w:sz w:val="22"/>
          <w:szCs w:val="22"/>
          <w:lang w:val="en-US"/>
        </w:rPr>
      </w:pPr>
      <w:r w:rsidRPr="006A352E">
        <w:rPr>
          <w:b/>
          <w:color w:val="auto"/>
          <w:sz w:val="22"/>
          <w:szCs w:val="22"/>
          <w:lang w:val="en-US"/>
        </w:rPr>
        <w:t>SHELL</w:t>
      </w:r>
      <w:r w:rsidRPr="006A352E">
        <w:rPr>
          <w:color w:val="auto"/>
          <w:sz w:val="22"/>
          <w:szCs w:val="22"/>
          <w:lang w:val="en-US"/>
        </w:rPr>
        <w:t xml:space="preserve">: </w:t>
      </w:r>
      <w:r w:rsidRPr="006A352E">
        <w:rPr>
          <w:iCs/>
          <w:color w:val="auto"/>
          <w:sz w:val="22"/>
          <w:szCs w:val="22"/>
          <w:lang w:val="en-US"/>
        </w:rPr>
        <w:t>Shell Tr</w:t>
      </w:r>
      <w:r>
        <w:rPr>
          <w:iCs/>
          <w:color w:val="auto"/>
          <w:sz w:val="22"/>
          <w:szCs w:val="22"/>
          <w:lang w:val="en-US"/>
        </w:rPr>
        <w:t>ansport and Trading Company Ltd</w:t>
      </w:r>
    </w:p>
    <w:p w:rsidR="00197AA0" w:rsidRPr="006A352E" w:rsidRDefault="00197AA0" w:rsidP="00CA797C">
      <w:pPr>
        <w:spacing w:line="360" w:lineRule="auto"/>
        <w:jc w:val="both"/>
        <w:rPr>
          <w:rFonts w:ascii="Arial" w:hAnsi="Arial" w:cs="Arial"/>
          <w:sz w:val="22"/>
          <w:szCs w:val="22"/>
          <w:lang w:val="en-US"/>
        </w:rPr>
      </w:pPr>
      <w:r w:rsidRPr="006A352E">
        <w:rPr>
          <w:rStyle w:val="longtext"/>
          <w:rFonts w:ascii="Arial" w:hAnsi="Arial" w:cs="Arial"/>
          <w:b/>
          <w:sz w:val="22"/>
          <w:szCs w:val="22"/>
          <w:lang w:val="en-US"/>
        </w:rPr>
        <w:t>STCW</w:t>
      </w:r>
      <w:r w:rsidRPr="006A352E">
        <w:rPr>
          <w:rStyle w:val="longtext"/>
          <w:rFonts w:ascii="Arial" w:hAnsi="Arial" w:cs="Arial"/>
          <w:sz w:val="22"/>
          <w:szCs w:val="22"/>
          <w:lang w:val="en-US"/>
        </w:rPr>
        <w:t>:</w:t>
      </w:r>
      <w:r>
        <w:rPr>
          <w:rStyle w:val="longtext"/>
          <w:rFonts w:ascii="Arial" w:hAnsi="Arial" w:cs="Arial"/>
          <w:sz w:val="22"/>
          <w:szCs w:val="22"/>
          <w:lang w:val="en-US"/>
        </w:rPr>
        <w:t xml:space="preserve"> </w:t>
      </w:r>
      <w:r w:rsidRPr="006A352E">
        <w:rPr>
          <w:rFonts w:ascii="Arial" w:hAnsi="Arial" w:cs="Arial"/>
          <w:sz w:val="22"/>
          <w:szCs w:val="22"/>
          <w:lang w:val="en-US"/>
        </w:rPr>
        <w:t>Standards of Training, Certification and Wathkeeping</w:t>
      </w:r>
    </w:p>
    <w:p w:rsidR="00197AA0" w:rsidRPr="006A352E" w:rsidRDefault="00197AA0" w:rsidP="00CA797C">
      <w:pPr>
        <w:pStyle w:val="Textonotapie"/>
        <w:spacing w:line="360" w:lineRule="auto"/>
        <w:jc w:val="both"/>
        <w:rPr>
          <w:rFonts w:ascii="Arial" w:hAnsi="Arial" w:cs="Arial"/>
          <w:sz w:val="22"/>
          <w:szCs w:val="22"/>
          <w:lang w:val="en-US"/>
        </w:rPr>
      </w:pPr>
      <w:r w:rsidRPr="006A352E">
        <w:rPr>
          <w:rFonts w:ascii="Arial" w:hAnsi="Arial" w:cs="Arial"/>
          <w:b/>
          <w:sz w:val="22"/>
          <w:szCs w:val="22"/>
          <w:lang w:val="en-US"/>
        </w:rPr>
        <w:t>TEU</w:t>
      </w:r>
      <w:r w:rsidRPr="006A352E">
        <w:rPr>
          <w:rFonts w:ascii="Arial" w:hAnsi="Arial" w:cs="Arial"/>
          <w:sz w:val="22"/>
          <w:szCs w:val="22"/>
          <w:lang w:val="en-US"/>
        </w:rPr>
        <w:t>:</w:t>
      </w:r>
      <w:r>
        <w:rPr>
          <w:rFonts w:ascii="Arial" w:hAnsi="Arial" w:cs="Arial"/>
          <w:sz w:val="22"/>
          <w:szCs w:val="22"/>
          <w:lang w:val="en-US"/>
        </w:rPr>
        <w:t xml:space="preserve"> Twenty-foot Equivalent Unit</w:t>
      </w:r>
    </w:p>
    <w:p w:rsidR="00197AA0" w:rsidRDefault="001D7573" w:rsidP="00CA797C">
      <w:pPr>
        <w:pStyle w:val="Textonotapie"/>
        <w:spacing w:line="360" w:lineRule="auto"/>
        <w:jc w:val="both"/>
        <w:rPr>
          <w:rFonts w:ascii="Arial" w:hAnsi="Arial" w:cs="Arial"/>
          <w:sz w:val="22"/>
          <w:szCs w:val="22"/>
          <w:lang w:val="en-US"/>
        </w:rPr>
      </w:pPr>
      <w:r w:rsidRPr="001D7573">
        <w:rPr>
          <w:rFonts w:ascii="Arial" w:hAnsi="Arial" w:cs="Arial"/>
          <w:b/>
          <w:noProof/>
          <w:sz w:val="22"/>
          <w:szCs w:val="22"/>
          <w:lang w:eastAsia="es-ES"/>
        </w:rPr>
        <w:pict>
          <v:shape id="_x0000_s1032" type="#_x0000_t202" style="position:absolute;left:0;text-align:left;margin-left:204.9pt;margin-top:48.6pt;width:26.25pt;height:21pt;z-index:251663360;mso-height-percent:200;mso-height-percent:200;mso-width-relative:margin;mso-height-relative:margin" fillcolor="white [3212]" stroked="f">
            <v:textbox style="mso-next-textbox:#_x0000_s1032;mso-fit-shape-to-text:t">
              <w:txbxContent>
                <w:p w:rsidR="00AC7D7B" w:rsidRDefault="00AC7D7B" w:rsidP="00D230BE">
                  <w:r>
                    <w:t>vi</w:t>
                  </w:r>
                </w:p>
              </w:txbxContent>
            </v:textbox>
          </v:shape>
        </w:pict>
      </w:r>
      <w:r w:rsidR="00197AA0" w:rsidRPr="00CA797C">
        <w:rPr>
          <w:rFonts w:ascii="Arial" w:hAnsi="Arial" w:cs="Arial"/>
          <w:b/>
          <w:sz w:val="22"/>
          <w:szCs w:val="22"/>
          <w:lang w:val="en-US"/>
        </w:rPr>
        <w:t>WWF</w:t>
      </w:r>
      <w:r w:rsidR="00197AA0" w:rsidRPr="00CA797C">
        <w:rPr>
          <w:rFonts w:ascii="Arial" w:hAnsi="Arial" w:cs="Arial"/>
          <w:sz w:val="22"/>
          <w:szCs w:val="22"/>
          <w:lang w:val="en-US"/>
        </w:rPr>
        <w:t>: World Wildlife Fund</w:t>
      </w:r>
    </w:p>
    <w:p w:rsidR="00197AA0" w:rsidRDefault="00197AA0" w:rsidP="005E1D74">
      <w:pPr>
        <w:jc w:val="center"/>
        <w:rPr>
          <w:rFonts w:ascii="Arial" w:hAnsi="Arial" w:cs="Arial"/>
          <w:b/>
          <w:bCs/>
        </w:rPr>
      </w:pPr>
      <w:r>
        <w:rPr>
          <w:rFonts w:ascii="Arial" w:hAnsi="Arial" w:cs="Arial"/>
          <w:b/>
          <w:bCs/>
        </w:rPr>
        <w:lastRenderedPageBreak/>
        <w:t>INTRODUCCIÓ</w:t>
      </w:r>
      <w:r w:rsidRPr="0035763B">
        <w:rPr>
          <w:rFonts w:ascii="Arial" w:hAnsi="Arial" w:cs="Arial"/>
          <w:b/>
          <w:bCs/>
        </w:rPr>
        <w:t>N</w:t>
      </w:r>
    </w:p>
    <w:p w:rsidR="00197AA0" w:rsidRDefault="00197AA0" w:rsidP="005E1D74">
      <w:pPr>
        <w:jc w:val="center"/>
        <w:rPr>
          <w:rFonts w:ascii="Arial" w:hAnsi="Arial" w:cs="Arial"/>
          <w:b/>
          <w:bCs/>
        </w:rPr>
      </w:pPr>
    </w:p>
    <w:p w:rsidR="00197AA0" w:rsidRPr="005E1D74" w:rsidRDefault="00197AA0" w:rsidP="005E1D74">
      <w:pPr>
        <w:pStyle w:val="NormalWeb"/>
        <w:spacing w:line="360" w:lineRule="auto"/>
        <w:ind w:firstLine="567"/>
        <w:jc w:val="both"/>
        <w:rPr>
          <w:rFonts w:ascii="Arial" w:hAnsi="Arial" w:cs="Arial"/>
          <w:color w:val="000000"/>
          <w:sz w:val="22"/>
          <w:szCs w:val="22"/>
        </w:rPr>
      </w:pPr>
      <w:r w:rsidRPr="005E1D74">
        <w:rPr>
          <w:rFonts w:ascii="Arial" w:hAnsi="Arial" w:cs="Arial"/>
          <w:color w:val="000000"/>
          <w:sz w:val="22"/>
          <w:szCs w:val="22"/>
        </w:rPr>
        <w:t xml:space="preserve">Durante décadas el hombre ha contaminado los espacios marítimos, sin embargo, ante estos hechos se ha desarrollado una paulatina evolución de la regulación marítima internacional para evitar la contaminación, ya que hoy en día es evidente que esta misma se ha intensificado por los transportes marítimos que transitan diariamente y las actividades de perforación que provocan estragos nunca conocidos en la vida de los océanos. Se ha ido tomando conciencia de estas acciones y descubriendo que la capacidad de dilución y recepción de los océanos no es ilimitada y que es necesario modificar las costumbres si se pretende preservarlos y mantenerlos como fuente de recursos y como lugar de esparcimiento. </w:t>
      </w:r>
    </w:p>
    <w:p w:rsidR="00197AA0" w:rsidRPr="005E1D74" w:rsidRDefault="00197AA0" w:rsidP="005E1D74">
      <w:pPr>
        <w:pStyle w:val="NormalWeb"/>
        <w:spacing w:line="360" w:lineRule="auto"/>
        <w:ind w:firstLine="567"/>
        <w:jc w:val="both"/>
        <w:rPr>
          <w:rFonts w:ascii="Arial" w:hAnsi="Arial" w:cs="Arial"/>
          <w:color w:val="000000"/>
          <w:sz w:val="22"/>
          <w:szCs w:val="22"/>
        </w:rPr>
      </w:pPr>
      <w:r w:rsidRPr="005E1D74">
        <w:rPr>
          <w:rFonts w:ascii="Arial" w:hAnsi="Arial" w:cs="Arial"/>
          <w:color w:val="000000"/>
          <w:sz w:val="22"/>
          <w:szCs w:val="22"/>
        </w:rPr>
        <w:t xml:space="preserve">Así mismo cabe resaltar que la contaminación marina puede afectar a todos por igual, no tiene fronteras, puede extenderse a todas las regiones del planeta, puede afectar a países en desarrollo y países desarrollados por igual y todos contribuyen a ella. Es un problema global, interdisciplinario, que abarca aspectos económicos, ecológicos, técnicos, políticos y jurídicos que nos atañe a todos, y que en sí, es un problema de la humanidad. </w:t>
      </w:r>
    </w:p>
    <w:p w:rsidR="00197AA0" w:rsidRPr="005E1D74" w:rsidRDefault="001D7573" w:rsidP="005E1D74">
      <w:pPr>
        <w:pStyle w:val="NormalWeb"/>
        <w:spacing w:line="360" w:lineRule="auto"/>
        <w:ind w:firstLine="567"/>
        <w:jc w:val="both"/>
        <w:rPr>
          <w:rFonts w:ascii="Arial" w:hAnsi="Arial" w:cs="Arial"/>
          <w:color w:val="000000"/>
          <w:sz w:val="22"/>
          <w:szCs w:val="22"/>
        </w:rPr>
      </w:pPr>
      <w:r w:rsidRPr="001D7573">
        <w:rPr>
          <w:rFonts w:ascii="Arial" w:hAnsi="Arial" w:cs="Arial"/>
          <w:noProof/>
          <w:sz w:val="22"/>
          <w:szCs w:val="22"/>
          <w:lang w:eastAsia="es-ES"/>
        </w:rPr>
        <w:pict>
          <v:shape id="_x0000_s1034" type="#_x0000_t202" style="position:absolute;left:0;text-align:left;margin-left:227.3pt;margin-top:343.15pt;width:31.8pt;height:21pt;z-index:251664384;mso-height-percent:200;mso-height-percent:200;mso-width-relative:margin;mso-height-relative:margin" fillcolor="white [3212]" stroked="f">
            <v:textbox style="mso-fit-shape-to-text:t">
              <w:txbxContent>
                <w:p w:rsidR="00AC7D7B" w:rsidRDefault="00AC7D7B" w:rsidP="00D230BE">
                  <w:r>
                    <w:t>vii</w:t>
                  </w:r>
                </w:p>
              </w:txbxContent>
            </v:textbox>
          </v:shape>
        </w:pict>
      </w:r>
      <w:r w:rsidR="00197AA0" w:rsidRPr="005E1D74">
        <w:rPr>
          <w:rFonts w:ascii="Arial" w:hAnsi="Arial" w:cs="Arial"/>
          <w:color w:val="000000"/>
          <w:sz w:val="22"/>
          <w:szCs w:val="22"/>
        </w:rPr>
        <w:t>Es importante mencionar y aclarar que los espacios marítimos no solo se ven gravemente afectados por la contaminación por hidrocarburos, sino también por otras fuentes de contaminación como son los residuos de origen industrial y los residuos de origen doméstico, el primero de estos tiene su origen principalmente en el transporte, las actividades costa afuera</w:t>
      </w:r>
      <w:r w:rsidR="00197AA0" w:rsidRPr="005E1D74">
        <w:rPr>
          <w:rStyle w:val="Refdenotaalpie"/>
          <w:rFonts w:ascii="Arial" w:hAnsi="Arial" w:cs="Arial"/>
          <w:color w:val="000000"/>
          <w:sz w:val="22"/>
          <w:szCs w:val="22"/>
        </w:rPr>
        <w:footnoteReference w:customMarkFollows="1" w:id="1"/>
        <w:sym w:font="Symbol" w:char="F02A"/>
      </w:r>
      <w:r w:rsidR="00197AA0" w:rsidRPr="005E1D74">
        <w:rPr>
          <w:rFonts w:ascii="Arial" w:hAnsi="Arial" w:cs="Arial"/>
          <w:color w:val="000000"/>
          <w:sz w:val="22"/>
          <w:szCs w:val="22"/>
        </w:rPr>
        <w:t xml:space="preserve"> y los insumos atmosféricos y terrestres vertidos a través de drenajes, en cambio la  contaminación proveniente de la industria tiene su origen en los metales pesados, hidrocarburos vertidos por la industria, desechos de origen químico, desechos mineros y escapes radiactivos, y por último, la contaminación originada por descargas domésticas que puede provenir de fuentes terrestres o desde buques y plataformas costa afuera. Ante todo este escenario y según algunos estudios realizados por la Organización Marítima Internacional</w:t>
      </w:r>
      <w:r w:rsidR="00197AA0" w:rsidRPr="005E1D74">
        <w:rPr>
          <w:rStyle w:val="Refdenotaalpie"/>
          <w:rFonts w:ascii="Arial" w:hAnsi="Arial" w:cs="Arial"/>
          <w:color w:val="000000"/>
          <w:sz w:val="22"/>
          <w:szCs w:val="22"/>
        </w:rPr>
        <w:footnoteReference w:customMarkFollows="1" w:id="2"/>
        <w:sym w:font="Symbol" w:char="F02A"/>
      </w:r>
      <w:r w:rsidR="00197AA0" w:rsidRPr="005E1D74">
        <w:rPr>
          <w:rStyle w:val="Refdenotaalpie"/>
          <w:rFonts w:ascii="Arial" w:hAnsi="Arial" w:cs="Arial"/>
          <w:color w:val="000000"/>
          <w:sz w:val="22"/>
          <w:szCs w:val="22"/>
        </w:rPr>
        <w:sym w:font="Symbol" w:char="F02A"/>
      </w:r>
      <w:r w:rsidR="00197AA0" w:rsidRPr="005E1D74">
        <w:rPr>
          <w:rFonts w:ascii="Arial" w:hAnsi="Arial" w:cs="Arial"/>
          <w:color w:val="000000"/>
          <w:sz w:val="22"/>
          <w:szCs w:val="22"/>
        </w:rPr>
        <w:t xml:space="preserve"> (OMI) y por la </w:t>
      </w:r>
      <w:r w:rsidR="00197AA0" w:rsidRPr="005E1D74">
        <w:rPr>
          <w:rFonts w:ascii="Arial" w:hAnsi="Arial" w:cs="Arial"/>
          <w:sz w:val="22"/>
          <w:szCs w:val="22"/>
        </w:rPr>
        <w:t xml:space="preserve">National Aeronautics and </w:t>
      </w:r>
      <w:r w:rsidR="00197AA0" w:rsidRPr="005E1D74">
        <w:rPr>
          <w:rFonts w:ascii="Arial" w:hAnsi="Arial" w:cs="Arial"/>
          <w:sz w:val="22"/>
          <w:szCs w:val="22"/>
        </w:rPr>
        <w:lastRenderedPageBreak/>
        <w:t>Space Administration</w:t>
      </w:r>
      <w:r w:rsidR="00197AA0" w:rsidRPr="005E1D74">
        <w:rPr>
          <w:rFonts w:ascii="Arial" w:hAnsi="Arial" w:cs="Arial"/>
          <w:color w:val="000000"/>
          <w:sz w:val="22"/>
          <w:szCs w:val="22"/>
        </w:rPr>
        <w:t xml:space="preserve"> (NASA)</w:t>
      </w:r>
      <w:r w:rsidR="00197AA0" w:rsidRPr="005E1D74">
        <w:rPr>
          <w:rStyle w:val="Refdenotaalpie"/>
          <w:rFonts w:ascii="Arial" w:hAnsi="Arial" w:cs="Arial"/>
          <w:color w:val="000000"/>
          <w:sz w:val="22"/>
          <w:szCs w:val="22"/>
        </w:rPr>
        <w:footnoteReference w:customMarkFollows="1" w:id="3"/>
        <w:sym w:font="Symbol" w:char="F02A"/>
      </w:r>
      <w:r w:rsidR="00197AA0" w:rsidRPr="005E1D74">
        <w:rPr>
          <w:rFonts w:ascii="Arial" w:hAnsi="Arial" w:cs="Arial"/>
          <w:color w:val="000000"/>
          <w:sz w:val="22"/>
          <w:szCs w:val="22"/>
        </w:rPr>
        <w:t xml:space="preserve"> destacan que el tonelaje derramado por la operación rutinaria de buques representa aproximadamente un 97% de toda la contaminación por hidrocarburos que tiene su origen a bordo y su volumen es por lo general, inferior a 7 toneladas. Por otra parte, resulta interesante que los derrames provocados por accidentes masivos representan sólo alrededor del 3% del tonelaje total derramado, sin embargo  estos alcanzan por lo general, varios miles de toneladas</w:t>
      </w:r>
      <w:r w:rsidR="00197AA0" w:rsidRPr="005E1D74">
        <w:rPr>
          <w:rStyle w:val="Refdenotaalpie"/>
          <w:rFonts w:ascii="Arial" w:hAnsi="Arial" w:cs="Arial"/>
          <w:color w:val="000000"/>
          <w:sz w:val="22"/>
          <w:szCs w:val="22"/>
        </w:rPr>
        <w:footnoteReference w:id="4"/>
      </w:r>
      <w:r w:rsidR="00197AA0" w:rsidRPr="005E1D74">
        <w:rPr>
          <w:rFonts w:ascii="Arial" w:hAnsi="Arial" w:cs="Arial"/>
          <w:color w:val="000000"/>
          <w:sz w:val="22"/>
          <w:szCs w:val="22"/>
        </w:rPr>
        <w:t>. Empero, son los accidentes los que han impulsado el desarrollo de las normas para proteger el medio marino de la contaminación, y por ello vale la pena referirse a ellos.</w:t>
      </w:r>
    </w:p>
    <w:p w:rsidR="00197AA0" w:rsidRPr="005E1D74" w:rsidRDefault="00197AA0" w:rsidP="005E1D74">
      <w:pPr>
        <w:spacing w:before="100" w:beforeAutospacing="1" w:after="100" w:afterAutospacing="1" w:line="360" w:lineRule="auto"/>
        <w:ind w:firstLine="567"/>
        <w:jc w:val="both"/>
        <w:rPr>
          <w:rFonts w:ascii="Arial" w:hAnsi="Arial" w:cs="Arial"/>
          <w:b/>
          <w:bCs/>
          <w:sz w:val="22"/>
          <w:szCs w:val="22"/>
        </w:rPr>
      </w:pPr>
      <w:r w:rsidRPr="005E1D74">
        <w:rPr>
          <w:rFonts w:ascii="Arial" w:hAnsi="Arial" w:cs="Arial"/>
          <w:color w:val="000000"/>
          <w:sz w:val="22"/>
          <w:szCs w:val="22"/>
        </w:rPr>
        <w:t xml:space="preserve">Desde comienzos del siglo XX se han constatado más de 200 accidentes de buques petroleros que han derramado cientos de miles de toneladas de crudo al medio marino en todo el planeta. A través de la historia, la humanidad ha conocido las consecuencias devastadoras que se han provocado tanto a la naturaleza marina como a los diferentes sectores económicos vinculados al mar. De acuerdo a este breve esbozo, se consideró relevante destacar los casos más emblemáticos de contaminación por hidrocarburos, provenientes de buques, como fue la primera gran catástrofe de la historia de las mareas negras, el famoso Torrey Canyon, sucedido el 18 de marzo de 1967; petrolero liberiano que embarrancó </w:t>
      </w:r>
      <w:r w:rsidRPr="005E1D74">
        <w:rPr>
          <w:rFonts w:ascii="Arial" w:hAnsi="Arial" w:cs="Arial"/>
          <w:sz w:val="22"/>
          <w:szCs w:val="22"/>
        </w:rPr>
        <w:t xml:space="preserve">en el arrecife de Seven Stones (archipiélago de las Scilly), situado al suroeste de las islas de Cornwall, Inglaterra, cuando se dirigía al puerto inglés de Milford Haven. Así mismo, otro de los casos más emblemáticos </w:t>
      </w:r>
      <w:r w:rsidRPr="005E1D74">
        <w:rPr>
          <w:rFonts w:ascii="Arial" w:hAnsi="Arial" w:cs="Arial"/>
          <w:color w:val="000000"/>
          <w:sz w:val="22"/>
          <w:szCs w:val="22"/>
        </w:rPr>
        <w:t>en la historia, ha sido la marea negra provocada por el Buque</w:t>
      </w:r>
      <w:r w:rsidRPr="005E1D74">
        <w:rPr>
          <w:rFonts w:ascii="Arial" w:hAnsi="Arial" w:cs="Arial"/>
          <w:sz w:val="22"/>
          <w:szCs w:val="22"/>
          <w:lang w:val="es-ES_tradnl"/>
        </w:rPr>
        <w:t xml:space="preserve"> Exxon Valdez</w:t>
      </w:r>
      <w:r w:rsidRPr="005E1D74">
        <w:rPr>
          <w:rFonts w:ascii="Arial" w:hAnsi="Arial" w:cs="Arial"/>
          <w:color w:val="000000"/>
          <w:sz w:val="22"/>
          <w:szCs w:val="22"/>
        </w:rPr>
        <w:t xml:space="preserve"> </w:t>
      </w:r>
      <w:r w:rsidRPr="005E1D74">
        <w:rPr>
          <w:rFonts w:ascii="Arial" w:hAnsi="Arial" w:cs="Arial"/>
          <w:sz w:val="22"/>
          <w:szCs w:val="22"/>
          <w:lang w:val="es-ES_tradnl"/>
        </w:rPr>
        <w:t xml:space="preserve">el 24 de marzo de 1989, con una carga de 1.48 millones de barriles de crudo, este buque  derramó en Alaska 41,600 toneladas de hidrocarburo, cubriendo más de </w:t>
      </w:r>
      <w:r w:rsidRPr="005E1D74">
        <w:rPr>
          <w:rFonts w:ascii="Arial" w:hAnsi="Arial" w:cs="Arial"/>
          <w:color w:val="000000"/>
          <w:sz w:val="22"/>
          <w:szCs w:val="22"/>
        </w:rPr>
        <w:t>800 kilómetros costa.</w:t>
      </w:r>
      <w:r w:rsidRPr="005E1D74">
        <w:rPr>
          <w:rFonts w:ascii="Arial" w:hAnsi="Arial" w:cs="Arial"/>
          <w:sz w:val="22"/>
          <w:szCs w:val="22"/>
          <w:lang w:val="es-ES_tradnl"/>
        </w:rPr>
        <w:t xml:space="preserve"> Este caso fue conocido como trágico y está rodeado de mucha polémica aún, puesto que el capitán del buque tanque se dice que se encontraba ebrio, tras esta catástrofe cabe decir que se dio  la creación de una comisión especial para promover el seguimiento de los efectos de la marea negra en un período de diez años, hasta 1999</w:t>
      </w:r>
      <w:r w:rsidRPr="005E1D74">
        <w:rPr>
          <w:rStyle w:val="Refdenotaalpie"/>
          <w:rFonts w:ascii="Arial" w:hAnsi="Arial" w:cs="Arial"/>
          <w:sz w:val="22"/>
          <w:szCs w:val="22"/>
          <w:lang w:val="es-ES_tradnl"/>
        </w:rPr>
        <w:footnoteReference w:id="5"/>
      </w:r>
      <w:r w:rsidRPr="005E1D74">
        <w:rPr>
          <w:rFonts w:ascii="Arial" w:hAnsi="Arial" w:cs="Arial"/>
          <w:sz w:val="22"/>
          <w:szCs w:val="22"/>
          <w:lang w:val="es-ES_tradnl"/>
        </w:rPr>
        <w:t xml:space="preserve">. </w:t>
      </w:r>
    </w:p>
    <w:p w:rsidR="00197AA0" w:rsidRPr="005E1D74" w:rsidRDefault="001D7573" w:rsidP="005E1D74">
      <w:pPr>
        <w:pStyle w:val="NormalWeb"/>
        <w:spacing w:line="360" w:lineRule="auto"/>
        <w:ind w:firstLine="567"/>
        <w:jc w:val="both"/>
        <w:rPr>
          <w:rFonts w:ascii="Arial" w:hAnsi="Arial" w:cs="Arial"/>
          <w:color w:val="000000"/>
          <w:sz w:val="22"/>
          <w:szCs w:val="22"/>
          <w:lang w:val="es-ES_tradnl"/>
        </w:rPr>
      </w:pPr>
      <w:r w:rsidRPr="001D7573">
        <w:rPr>
          <w:rFonts w:ascii="Arial" w:hAnsi="Arial" w:cs="Arial"/>
          <w:noProof/>
          <w:sz w:val="22"/>
          <w:szCs w:val="22"/>
          <w:lang w:eastAsia="es-ES"/>
        </w:rPr>
        <w:pict>
          <v:shape id="_x0000_s1035" type="#_x0000_t202" style="position:absolute;left:0;text-align:left;margin-left:183.35pt;margin-top:154.7pt;width:31.8pt;height:21pt;z-index:251665408;mso-height-percent:200;mso-height-percent:200;mso-width-relative:margin;mso-height-relative:margin" fillcolor="white [3212]" stroked="f">
            <v:textbox style="mso-fit-shape-to-text:t">
              <w:txbxContent>
                <w:p w:rsidR="00AC7D7B" w:rsidRDefault="00AC7D7B" w:rsidP="00D230BE">
                  <w:r>
                    <w:t>viii</w:t>
                  </w:r>
                </w:p>
              </w:txbxContent>
            </v:textbox>
          </v:shape>
        </w:pict>
      </w:r>
      <w:r w:rsidR="00197AA0" w:rsidRPr="005E1D74">
        <w:rPr>
          <w:rFonts w:ascii="Arial" w:hAnsi="Arial" w:cs="Arial"/>
          <w:color w:val="000000"/>
          <w:sz w:val="22"/>
          <w:szCs w:val="22"/>
          <w:lang w:val="es-ES_tradnl"/>
        </w:rPr>
        <w:t xml:space="preserve">Dentro de la misma línea también resulta fundamental describir otro de los casos que produjo mucha contaminación, tal fue la tragedia del Buque </w:t>
      </w:r>
      <w:r w:rsidR="00197AA0" w:rsidRPr="005E1D74">
        <w:rPr>
          <w:rFonts w:ascii="Arial" w:hAnsi="Arial" w:cs="Arial"/>
          <w:sz w:val="22"/>
          <w:szCs w:val="22"/>
          <w:lang w:val="es-ES_tradnl"/>
        </w:rPr>
        <w:t xml:space="preserve">Erika, que </w:t>
      </w:r>
      <w:r w:rsidR="00197AA0" w:rsidRPr="005E1D74">
        <w:rPr>
          <w:rFonts w:ascii="Arial" w:hAnsi="Arial" w:cs="Arial"/>
          <w:sz w:val="22"/>
          <w:szCs w:val="22"/>
        </w:rPr>
        <w:t xml:space="preserve">se accidentó el 12 de diciembre de 1999, el cual se partió en dos, frente a la costa de Bretaña, Francia. El </w:t>
      </w:r>
      <w:r w:rsidR="00197AA0" w:rsidRPr="005E1D74">
        <w:rPr>
          <w:rFonts w:ascii="Arial" w:hAnsi="Arial" w:cs="Arial"/>
          <w:sz w:val="22"/>
          <w:szCs w:val="22"/>
        </w:rPr>
        <w:lastRenderedPageBreak/>
        <w:t>cargamento de crudo que transportaba era aproximadamente de 30,000 toneladas, de las cuales, se derramaron unas 19.800 toneladas del crudo en el espacio marítimo. Con el accidente producido se dio la creación de paquetes de medidas, que fue conocido como paquete Erika, con el objetivo de paliar futuras tragedias en los espacios marítimos.</w:t>
      </w:r>
    </w:p>
    <w:p w:rsidR="00197AA0" w:rsidRPr="005E1D74" w:rsidRDefault="00197AA0" w:rsidP="005E1D74">
      <w:pPr>
        <w:pStyle w:val="NormalWeb"/>
        <w:spacing w:line="360" w:lineRule="auto"/>
        <w:ind w:firstLine="567"/>
        <w:jc w:val="both"/>
        <w:rPr>
          <w:rFonts w:ascii="Arial" w:hAnsi="Arial" w:cs="Arial"/>
          <w:color w:val="000000"/>
          <w:sz w:val="22"/>
          <w:szCs w:val="22"/>
        </w:rPr>
      </w:pPr>
      <w:r w:rsidRPr="005E1D74">
        <w:rPr>
          <w:rFonts w:ascii="Arial" w:hAnsi="Arial" w:cs="Arial"/>
          <w:color w:val="000000"/>
          <w:sz w:val="22"/>
          <w:szCs w:val="22"/>
          <w:lang w:val="es-ES_tradnl"/>
        </w:rPr>
        <w:t xml:space="preserve"> Al mismo tiempo, ya a comienzos del siglo XXI se dio otro accidente de esta naturaleza, que fue el Buque Prestige, que tuvo un impacto desastroso el 13 de noviembre del 2002, cargando 77,000 toneladas de petróleo, </w:t>
      </w:r>
      <w:r w:rsidRPr="005E1D74">
        <w:rPr>
          <w:rFonts w:ascii="Arial" w:hAnsi="Arial" w:cs="Arial"/>
          <w:color w:val="000000"/>
          <w:sz w:val="22"/>
          <w:szCs w:val="22"/>
        </w:rPr>
        <w:t>el producto que transportaba el Prestige era fuel óleo, un residuo pesado de la destilación del petróleo crudo. El hecho de ser un residuo pesado hace que el vertido sea más dañino en comparación con los de crudo, ya que del orden de un 50% de estos últimos son compuestos ligeros (tipo gasolinas o gasóleos), que se evaporan en cuestión de horas tras el vertido. Esta catástrofe tuvo lugar frente a la costa de la muerte</w:t>
      </w:r>
      <w:r w:rsidRPr="005E1D74">
        <w:rPr>
          <w:rFonts w:ascii="Arial" w:hAnsi="Arial" w:cs="Arial"/>
          <w:color w:val="000000"/>
          <w:sz w:val="22"/>
          <w:szCs w:val="22"/>
          <w:lang w:val="es-ES_tradnl"/>
        </w:rPr>
        <w:t xml:space="preserve"> </w:t>
      </w:r>
      <w:r w:rsidRPr="005E1D74">
        <w:rPr>
          <w:rFonts w:ascii="Arial" w:hAnsi="Arial" w:cs="Arial"/>
          <w:color w:val="000000"/>
          <w:sz w:val="22"/>
          <w:szCs w:val="22"/>
        </w:rPr>
        <w:t xml:space="preserve">en el noroeste de </w:t>
      </w:r>
      <w:hyperlink r:id="rId11" w:tooltip="España" w:history="1">
        <w:r w:rsidRPr="005E1D74">
          <w:rPr>
            <w:rFonts w:ascii="Arial" w:hAnsi="Arial" w:cs="Arial"/>
            <w:color w:val="000000"/>
            <w:sz w:val="22"/>
            <w:szCs w:val="22"/>
          </w:rPr>
          <w:t>España</w:t>
        </w:r>
      </w:hyperlink>
      <w:r w:rsidRPr="005E1D74">
        <w:rPr>
          <w:rFonts w:ascii="Arial" w:hAnsi="Arial" w:cs="Arial"/>
          <w:color w:val="000000"/>
          <w:sz w:val="22"/>
          <w:szCs w:val="22"/>
        </w:rPr>
        <w:t xml:space="preserve">, y  tras varios días de maniobra para su alejamiento de la costa </w:t>
      </w:r>
      <w:hyperlink r:id="rId12" w:tooltip="Galicia" w:history="1">
        <w:r w:rsidRPr="005E1D74">
          <w:rPr>
            <w:rFonts w:ascii="Arial" w:hAnsi="Arial" w:cs="Arial"/>
            <w:color w:val="000000"/>
            <w:sz w:val="22"/>
            <w:szCs w:val="22"/>
          </w:rPr>
          <w:t>gallega</w:t>
        </w:r>
      </w:hyperlink>
      <w:r w:rsidRPr="005E1D74">
        <w:rPr>
          <w:rFonts w:ascii="Arial" w:hAnsi="Arial" w:cs="Arial"/>
          <w:color w:val="000000"/>
          <w:sz w:val="22"/>
          <w:szCs w:val="22"/>
        </w:rPr>
        <w:t xml:space="preserve">, acabó hundido a unos 250 Km. de la misma. La </w:t>
      </w:r>
      <w:hyperlink r:id="rId13" w:tooltip="Marea negra" w:history="1">
        <w:r w:rsidRPr="005E1D74">
          <w:rPr>
            <w:rFonts w:ascii="Arial" w:hAnsi="Arial" w:cs="Arial"/>
            <w:color w:val="000000"/>
            <w:sz w:val="22"/>
            <w:szCs w:val="22"/>
          </w:rPr>
          <w:t>marea negra</w:t>
        </w:r>
      </w:hyperlink>
      <w:r w:rsidRPr="005E1D74">
        <w:rPr>
          <w:rFonts w:ascii="Arial" w:hAnsi="Arial" w:cs="Arial"/>
          <w:color w:val="000000"/>
          <w:sz w:val="22"/>
          <w:szCs w:val="22"/>
        </w:rPr>
        <w:t xml:space="preserve"> provocada por el vertido, causó una de las </w:t>
      </w:r>
      <w:hyperlink r:id="rId14" w:tooltip="Catástrofe medioambiental (aún no redactado)" w:history="1">
        <w:r w:rsidRPr="005E1D74">
          <w:rPr>
            <w:rFonts w:ascii="Arial" w:hAnsi="Arial" w:cs="Arial"/>
            <w:color w:val="000000"/>
            <w:sz w:val="22"/>
            <w:szCs w:val="22"/>
          </w:rPr>
          <w:t>catástrofes medioambientales</w:t>
        </w:r>
      </w:hyperlink>
      <w:r w:rsidRPr="005E1D74">
        <w:rPr>
          <w:rFonts w:ascii="Arial" w:hAnsi="Arial" w:cs="Arial"/>
          <w:color w:val="000000"/>
          <w:sz w:val="22"/>
          <w:szCs w:val="22"/>
        </w:rPr>
        <w:t xml:space="preserve"> más grandes de la historia de la navegación, tanto por la cantidad de </w:t>
      </w:r>
      <w:hyperlink r:id="rId15" w:tooltip="Contaminante" w:history="1">
        <w:r w:rsidRPr="005E1D74">
          <w:rPr>
            <w:rFonts w:ascii="Arial" w:hAnsi="Arial" w:cs="Arial"/>
            <w:color w:val="000000"/>
            <w:sz w:val="22"/>
            <w:szCs w:val="22"/>
          </w:rPr>
          <w:t>contaminantes</w:t>
        </w:r>
      </w:hyperlink>
      <w:r w:rsidRPr="005E1D74">
        <w:rPr>
          <w:rFonts w:ascii="Arial" w:hAnsi="Arial" w:cs="Arial"/>
          <w:color w:val="000000"/>
          <w:sz w:val="22"/>
          <w:szCs w:val="22"/>
        </w:rPr>
        <w:t xml:space="preserve"> liberados como por la extensión del área afectada, una zona comprendida desde el norte de </w:t>
      </w:r>
      <w:hyperlink r:id="rId16" w:tooltip="Portugal" w:history="1">
        <w:r w:rsidRPr="005E1D74">
          <w:rPr>
            <w:rFonts w:ascii="Arial" w:hAnsi="Arial" w:cs="Arial"/>
            <w:color w:val="000000"/>
            <w:sz w:val="22"/>
            <w:szCs w:val="22"/>
          </w:rPr>
          <w:t>Portugal</w:t>
        </w:r>
      </w:hyperlink>
      <w:r w:rsidRPr="005E1D74">
        <w:rPr>
          <w:rFonts w:ascii="Arial" w:hAnsi="Arial" w:cs="Arial"/>
          <w:color w:val="000000"/>
          <w:sz w:val="22"/>
          <w:szCs w:val="22"/>
        </w:rPr>
        <w:t xml:space="preserve"> hasta las </w:t>
      </w:r>
      <w:hyperlink r:id="rId17" w:tooltip="Landas" w:history="1">
        <w:r w:rsidRPr="005E1D74">
          <w:rPr>
            <w:rFonts w:ascii="Arial" w:hAnsi="Arial" w:cs="Arial"/>
            <w:color w:val="000000"/>
            <w:sz w:val="22"/>
            <w:szCs w:val="22"/>
          </w:rPr>
          <w:t>Landas</w:t>
        </w:r>
      </w:hyperlink>
      <w:r w:rsidRPr="005E1D74">
        <w:rPr>
          <w:rFonts w:ascii="Arial" w:hAnsi="Arial" w:cs="Arial"/>
          <w:color w:val="000000"/>
          <w:sz w:val="22"/>
          <w:szCs w:val="22"/>
        </w:rPr>
        <w:t xml:space="preserve"> de </w:t>
      </w:r>
      <w:hyperlink r:id="rId18" w:tooltip="Francia" w:history="1">
        <w:r w:rsidRPr="005E1D74">
          <w:rPr>
            <w:rFonts w:ascii="Arial" w:hAnsi="Arial" w:cs="Arial"/>
            <w:color w:val="000000"/>
            <w:sz w:val="22"/>
            <w:szCs w:val="22"/>
          </w:rPr>
          <w:t>Francia</w:t>
        </w:r>
      </w:hyperlink>
      <w:r w:rsidRPr="005E1D74">
        <w:rPr>
          <w:rFonts w:ascii="Arial" w:hAnsi="Arial" w:cs="Arial"/>
          <w:color w:val="000000"/>
          <w:sz w:val="22"/>
          <w:szCs w:val="22"/>
        </w:rPr>
        <w:t xml:space="preserve">. Este acontecimiento tuvo una especial incidencia en </w:t>
      </w:r>
      <w:hyperlink r:id="rId19" w:tooltip="Galicia" w:history="1">
        <w:r w:rsidRPr="005E1D74">
          <w:rPr>
            <w:rFonts w:ascii="Arial" w:hAnsi="Arial" w:cs="Arial"/>
            <w:color w:val="000000"/>
            <w:sz w:val="22"/>
            <w:szCs w:val="22"/>
          </w:rPr>
          <w:t>Galicia</w:t>
        </w:r>
      </w:hyperlink>
      <w:r w:rsidRPr="005E1D74">
        <w:rPr>
          <w:rFonts w:ascii="Arial" w:hAnsi="Arial" w:cs="Arial"/>
          <w:color w:val="000000"/>
          <w:sz w:val="22"/>
          <w:szCs w:val="22"/>
        </w:rPr>
        <w:t>, donde causó además una crisis política y una gran controversia en la opinión pública.</w:t>
      </w:r>
    </w:p>
    <w:p w:rsidR="00197AA0" w:rsidRPr="005E1D74" w:rsidRDefault="00197AA0" w:rsidP="005E1D74">
      <w:pPr>
        <w:spacing w:line="360" w:lineRule="auto"/>
        <w:ind w:firstLine="567"/>
        <w:jc w:val="both"/>
        <w:rPr>
          <w:rFonts w:ascii="Arial" w:hAnsi="Arial" w:cs="Arial"/>
          <w:sz w:val="22"/>
          <w:szCs w:val="22"/>
        </w:rPr>
      </w:pPr>
      <w:r w:rsidRPr="005E1D74">
        <w:rPr>
          <w:rFonts w:ascii="Arial" w:hAnsi="Arial" w:cs="Arial"/>
          <w:color w:val="000000"/>
          <w:sz w:val="22"/>
          <w:szCs w:val="22"/>
        </w:rPr>
        <w:t>Por último mencionar u</w:t>
      </w:r>
      <w:r w:rsidRPr="005E1D74">
        <w:rPr>
          <w:rFonts w:ascii="Arial" w:hAnsi="Arial" w:cs="Arial"/>
          <w:sz w:val="22"/>
          <w:szCs w:val="22"/>
        </w:rPr>
        <w:t>no de los accidentes de contaminación por hidrocarburos acaecidos con mayor actualidad, como es el de la embarcación petrolera conocida como Shen Neng 1, ocurrido el 3 de abril de 2010,  que quedó varado a 70 kilómetros de la costa de la isla Great Keppel, Australia, al chocar contra un arrecife.</w:t>
      </w:r>
    </w:p>
    <w:p w:rsidR="00197AA0" w:rsidRPr="005E1D74" w:rsidRDefault="001D7573" w:rsidP="005E1D74">
      <w:pPr>
        <w:pStyle w:val="NormalWeb"/>
        <w:spacing w:line="360" w:lineRule="auto"/>
        <w:ind w:firstLine="567"/>
        <w:jc w:val="both"/>
        <w:rPr>
          <w:rFonts w:ascii="Arial" w:hAnsi="Arial" w:cs="Arial"/>
          <w:color w:val="000000"/>
          <w:sz w:val="22"/>
          <w:szCs w:val="22"/>
        </w:rPr>
      </w:pPr>
      <w:r>
        <w:rPr>
          <w:rFonts w:ascii="Arial" w:hAnsi="Arial" w:cs="Arial"/>
          <w:noProof/>
          <w:color w:val="000000"/>
          <w:sz w:val="22"/>
          <w:szCs w:val="22"/>
          <w:lang w:eastAsia="es-ES"/>
        </w:rPr>
        <w:pict>
          <v:shape id="_x0000_s1036" type="#_x0000_t202" style="position:absolute;left:0;text-align:left;margin-left:193.35pt;margin-top:215.7pt;width:31.8pt;height:21pt;z-index:251666432;mso-height-percent:200;mso-height-percent:200;mso-width-relative:margin;mso-height-relative:margin" fillcolor="white [3212]" stroked="f">
            <v:textbox style="mso-fit-shape-to-text:t">
              <w:txbxContent>
                <w:p w:rsidR="00AC7D7B" w:rsidRDefault="00AC7D7B" w:rsidP="00D230BE">
                  <w:r>
                    <w:t>ix</w:t>
                  </w:r>
                </w:p>
              </w:txbxContent>
            </v:textbox>
          </v:shape>
        </w:pict>
      </w:r>
      <w:r w:rsidR="00197AA0" w:rsidRPr="005E1D74">
        <w:rPr>
          <w:rFonts w:ascii="Arial" w:hAnsi="Arial" w:cs="Arial"/>
          <w:color w:val="000000"/>
          <w:sz w:val="22"/>
          <w:szCs w:val="22"/>
        </w:rPr>
        <w:t>Frente a este breve recuento de sólo algunos de los casos más emblemáticos y desastrosos, se introduce en este campo, la institución de lo que hoy se conoce con el término de responsabilidad internacional</w:t>
      </w:r>
      <w:r w:rsidR="00197AA0" w:rsidRPr="005E1D74">
        <w:rPr>
          <w:rStyle w:val="Refdenotaalpie"/>
          <w:rFonts w:ascii="Arial" w:hAnsi="Arial" w:cs="Arial"/>
          <w:color w:val="000000"/>
          <w:sz w:val="22"/>
          <w:szCs w:val="22"/>
        </w:rPr>
        <w:footnoteReference w:customMarkFollows="1" w:id="6"/>
        <w:sym w:font="Symbol" w:char="F02A"/>
      </w:r>
      <w:r w:rsidR="00197AA0" w:rsidRPr="005E1D74">
        <w:rPr>
          <w:rFonts w:ascii="Arial" w:hAnsi="Arial" w:cs="Arial"/>
          <w:color w:val="000000"/>
          <w:sz w:val="22"/>
          <w:szCs w:val="22"/>
        </w:rPr>
        <w:t xml:space="preserve">, como aquella que estipula que quien causa daño está obligado a reparar y pagar por el daño causado, esta institución no es nada </w:t>
      </w:r>
      <w:r w:rsidR="00197AA0" w:rsidRPr="005E1D74">
        <w:rPr>
          <w:rFonts w:ascii="Arial" w:hAnsi="Arial" w:cs="Arial"/>
          <w:color w:val="000000"/>
          <w:sz w:val="22"/>
          <w:szCs w:val="22"/>
        </w:rPr>
        <w:lastRenderedPageBreak/>
        <w:t xml:space="preserve">nueva, sino que ha venido teniendo toda una evolución a lo largo del tiempo, pero es muy importante destacar un hito en el siglo XX que fue el que marcó la pauta para determinar quién sería el responsable de pagar y establecer cuanto sería la cantidad por los daños causados, tal fue el caso del Torrey Canyon de 1967, es así que el 29 de noviembre de 1969 en Bruselas, </w:t>
      </w:r>
      <w:r w:rsidR="00197AA0" w:rsidRPr="005E1D74">
        <w:rPr>
          <w:rFonts w:ascii="Arial" w:hAnsi="Arial" w:cs="Arial"/>
          <w:sz w:val="22"/>
          <w:szCs w:val="22"/>
        </w:rPr>
        <w:t>Bélgica, se adoptó el Convenio Internacional sobre Responsabilidad Civil por Daños Causados por la Contaminación de las Aguas del Mar por Hidrocarburos, con este convenio se buscaba regular la responsabilidad de los propietarios de buques en caso de derrame de petróleo, específicamente establece la obligatoriedad de contratar un seguro para hacer frente a la responsabilidad civil derivada de estos derrames, además permite limitar la responsabilidad a una cantidad relacionada con el tonelaje del buque tanque. También se adoptó el Convenio Internacional sobre la Constitución de un Fondo de Indemnización de daños ocasionados por Hidrocarburos (FIDAC), convenio del 18 de diciembre de 1971, con modificaciones en 1976, 1984, 1992 y 2003. Así mismo la comunidad internacional se ha visto obligada a establecer una serie de regulaciones en los espacios marítimos para evitar  este tipo de accidentes, a partir de ello se le da una mayor importancia al derecho ambiental internacional, en respuesta a todos los daños que se suscitan no sólo dentro de los espacios marítimos sino también en las especies</w:t>
      </w:r>
      <w:r w:rsidR="00197AA0" w:rsidRPr="005E1D74">
        <w:rPr>
          <w:rFonts w:ascii="Arial" w:hAnsi="Arial" w:cs="Arial"/>
          <w:color w:val="000000"/>
          <w:sz w:val="22"/>
          <w:szCs w:val="22"/>
        </w:rPr>
        <w:t xml:space="preserve"> que habitan en este ambiente. </w:t>
      </w:r>
    </w:p>
    <w:p w:rsidR="00197AA0" w:rsidRPr="005E1D74" w:rsidRDefault="001D7573" w:rsidP="005E1D74">
      <w:pPr>
        <w:spacing w:line="360" w:lineRule="auto"/>
        <w:ind w:firstLine="567"/>
        <w:jc w:val="both"/>
        <w:rPr>
          <w:rFonts w:ascii="Arial" w:hAnsi="Arial" w:cs="Arial"/>
          <w:sz w:val="22"/>
          <w:szCs w:val="22"/>
        </w:rPr>
      </w:pPr>
      <w:r w:rsidRPr="001D7573">
        <w:rPr>
          <w:rFonts w:ascii="Arial" w:hAnsi="Arial" w:cs="Arial"/>
          <w:noProof/>
          <w:color w:val="000000"/>
          <w:sz w:val="22"/>
          <w:szCs w:val="22"/>
        </w:rPr>
        <w:pict>
          <v:shape id="_x0000_s1038" type="#_x0000_t202" style="position:absolute;left:0;text-align:left;margin-left:196.8pt;margin-top:323.7pt;width:31.8pt;height:21pt;z-index:251667456;mso-height-percent:200;mso-height-percent:200;mso-width-relative:margin;mso-height-relative:margin" fillcolor="white [3212]" stroked="f">
            <v:textbox style="mso-fit-shape-to-text:t">
              <w:txbxContent>
                <w:p w:rsidR="00AC7D7B" w:rsidRDefault="00AC7D7B" w:rsidP="00D230BE">
                  <w:r>
                    <w:t>x</w:t>
                  </w:r>
                </w:p>
              </w:txbxContent>
            </v:textbox>
          </v:shape>
        </w:pict>
      </w:r>
      <w:r w:rsidR="00197AA0" w:rsidRPr="005E1D74">
        <w:rPr>
          <w:rFonts w:ascii="Arial" w:hAnsi="Arial" w:cs="Arial"/>
          <w:color w:val="000000"/>
          <w:sz w:val="22"/>
          <w:szCs w:val="22"/>
        </w:rPr>
        <w:t xml:space="preserve">Sin embargo se han realizado una serie de esfuerzos de muchos países para abordar los derrames de crudo que se producen muchas veces cuando estos se ven afectados por un vertido de magnitud, y son, excepto en ocasiones </w:t>
      </w:r>
      <w:r w:rsidR="00197AA0" w:rsidRPr="005E1D74">
        <w:rPr>
          <w:rFonts w:ascii="Arial" w:hAnsi="Arial" w:cs="Arial"/>
          <w:sz w:val="22"/>
          <w:szCs w:val="22"/>
        </w:rPr>
        <w:t>muy puntuales, reacciones improvisadas, tardías y dotadas de importantes deficiencias de coordinación y de soportes logísticos apropiados. Ante estas situaciones se ha creado un amplio  marco de instrumentos jurídicos para regular los espacios marítimos, como por ejemplo el convenio MARPOL 73/78, la OMI, etc. por mencionar algunos.</w:t>
      </w:r>
      <w:r w:rsidR="00197AA0" w:rsidRPr="005E1D74">
        <w:rPr>
          <w:rStyle w:val="Refdenotaalpie"/>
          <w:rFonts w:ascii="Arial" w:hAnsi="Arial" w:cs="Arial"/>
          <w:sz w:val="22"/>
          <w:szCs w:val="22"/>
        </w:rPr>
        <w:footnoteReference w:customMarkFollows="1" w:id="7"/>
        <w:sym w:font="Symbol" w:char="F02A"/>
      </w:r>
      <w:r w:rsidR="00197AA0" w:rsidRPr="005E1D74">
        <w:rPr>
          <w:rFonts w:ascii="Arial" w:hAnsi="Arial" w:cs="Arial"/>
          <w:sz w:val="22"/>
          <w:szCs w:val="22"/>
        </w:rPr>
        <w:t xml:space="preserve"> Sin embargo, las legislaciones internacionales y los mecanismos de inspección y de control siguen resultando altamente insuficientes e ineficaces para detener la escalada de vertidos de petróleo al mar, y muchos Estados aún no cumplen con las regulaciones que se establecen en los espacios marítimos para evitar la contaminación por hidrocarburos.</w:t>
      </w:r>
    </w:p>
    <w:p w:rsidR="00197AA0" w:rsidRPr="005E1D74" w:rsidRDefault="00197AA0" w:rsidP="005E1D74">
      <w:pPr>
        <w:spacing w:before="100" w:beforeAutospacing="1" w:after="100" w:afterAutospacing="1" w:line="360" w:lineRule="auto"/>
        <w:ind w:firstLine="567"/>
        <w:jc w:val="both"/>
        <w:rPr>
          <w:rFonts w:ascii="Arial" w:hAnsi="Arial" w:cs="Arial"/>
          <w:sz w:val="22"/>
          <w:szCs w:val="22"/>
        </w:rPr>
      </w:pPr>
      <w:r w:rsidRPr="005E1D74">
        <w:rPr>
          <w:rFonts w:ascii="Arial" w:hAnsi="Arial" w:cs="Arial"/>
          <w:sz w:val="22"/>
          <w:szCs w:val="22"/>
        </w:rPr>
        <w:lastRenderedPageBreak/>
        <w:t>Cabe recalcar que la justificación de tan elevado número de accidentes que se han suscitado a lo largo de la historia han sido protagonizados, en gran medida, por la permisividad que muchos Estados otorgan a naves de bandera de conveniencia</w:t>
      </w:r>
      <w:r w:rsidRPr="005E1D74">
        <w:rPr>
          <w:rStyle w:val="Refdenotaalpie"/>
          <w:rFonts w:ascii="Arial" w:hAnsi="Arial" w:cs="Arial"/>
          <w:sz w:val="22"/>
          <w:szCs w:val="22"/>
        </w:rPr>
        <w:footnoteReference w:customMarkFollows="1" w:id="8"/>
        <w:sym w:font="Symbol" w:char="F02A"/>
      </w:r>
      <w:r w:rsidRPr="005E1D74">
        <w:rPr>
          <w:rFonts w:ascii="Arial" w:hAnsi="Arial" w:cs="Arial"/>
          <w:sz w:val="22"/>
          <w:szCs w:val="22"/>
        </w:rPr>
        <w:t xml:space="preserve"> cuando arriban a puertos comunitarios, en estado de navegación deplorables. El tema de las banderas de conveniencia desde los siglos XVIII y XIX ha tenido como finalidad lograr mayores beneficios económicos y su crecimiento no ha cesado hasta nuestros días, ya que este fenómeno se ha ido desarrollando aún más, sólo en la década de los años cincuenta, las banderas de conveniencia representaban el 5% de tonelaje mundial, en 1960 el 15%; en 1980 el 25%, mientras en la actualidad se aproxima al 50%. No obstante, el 70% de los acaecimientos de la navegación son producidos por buques de estas banderas, lo que hace pensar a la comunidad internacional sobre la necesidad de un control técnico más estricto</w:t>
      </w:r>
      <w:r w:rsidRPr="005E1D74">
        <w:rPr>
          <w:rStyle w:val="Refdenotaalpie"/>
          <w:rFonts w:ascii="Arial" w:hAnsi="Arial" w:cs="Arial"/>
          <w:sz w:val="22"/>
          <w:szCs w:val="22"/>
        </w:rPr>
        <w:footnoteReference w:id="9"/>
      </w:r>
      <w:r w:rsidRPr="005E1D74">
        <w:rPr>
          <w:rFonts w:ascii="Arial" w:hAnsi="Arial" w:cs="Arial"/>
          <w:sz w:val="22"/>
          <w:szCs w:val="22"/>
        </w:rPr>
        <w:t>. Ya que más de 6,000 buques surcan actualmente los océanos, y muchos de ellos en pésimas condiciones de navegación, y transportando mercancías altamente tóxicas por el mar.</w:t>
      </w:r>
    </w:p>
    <w:p w:rsidR="00197AA0" w:rsidRPr="005E1D74" w:rsidRDefault="00197AA0" w:rsidP="005E1D74">
      <w:pPr>
        <w:spacing w:before="100" w:beforeAutospacing="1" w:after="100" w:afterAutospacing="1" w:line="360" w:lineRule="auto"/>
        <w:ind w:firstLine="567"/>
        <w:jc w:val="both"/>
        <w:rPr>
          <w:rFonts w:ascii="Arial" w:hAnsi="Arial" w:cs="Arial"/>
          <w:sz w:val="22"/>
          <w:szCs w:val="22"/>
        </w:rPr>
      </w:pPr>
      <w:r w:rsidRPr="005E1D74">
        <w:rPr>
          <w:rFonts w:ascii="Arial" w:hAnsi="Arial" w:cs="Arial"/>
          <w:sz w:val="22"/>
          <w:szCs w:val="22"/>
        </w:rPr>
        <w:t xml:space="preserve">Ante todo este escenario internacional planteado anteriormente, también es importante destacar la situación de El Salvador en materia de legislación marítima por contaminación por hidrocarburos, resaltando el caso del puerto del Golfo de Fonseca, construido en 1915 por la empresa “The Internacional Railway of Central América (IRCA)”; durante muchos años operó como una estación terminal del ferrocarril, para la movilización de carga a granel líquida y pasajeros. Este tipo de puertos contribuyeron al desarrollo del país, desde fines del siglo pasado hasta la fecha. A partir del año 1975, el Puerto de Cutuco pasó a manos del Estado de El Salvador, quien encomendó su administración y dirección a la Comisión Ejecutiva Portuaria Autónoma (CEPA). En esta misma década, la movilización de mercancías fueron en su mayoría de productos de agro exportación: algodón y café, que posteriormente decayeron, además otro factor que también paralizó las actividades en esta zona portuaria fue el conflicto armado, deteniendo de esta manera, drásticamente el desarrollo portuario en esta zona. </w:t>
      </w:r>
    </w:p>
    <w:p w:rsidR="00197AA0" w:rsidRPr="005E1D74" w:rsidRDefault="001D7573" w:rsidP="005E1D74">
      <w:pPr>
        <w:spacing w:before="100" w:beforeAutospacing="1" w:after="100" w:afterAutospacing="1" w:line="360" w:lineRule="auto"/>
        <w:ind w:firstLine="567"/>
        <w:jc w:val="both"/>
        <w:rPr>
          <w:rFonts w:ascii="Arial" w:hAnsi="Arial" w:cs="Arial"/>
          <w:sz w:val="22"/>
          <w:szCs w:val="22"/>
        </w:rPr>
      </w:pPr>
      <w:r>
        <w:rPr>
          <w:rFonts w:ascii="Arial" w:hAnsi="Arial" w:cs="Arial"/>
          <w:noProof/>
          <w:sz w:val="22"/>
          <w:szCs w:val="22"/>
        </w:rPr>
        <w:pict>
          <v:shape id="_x0000_s1039" type="#_x0000_t202" style="position:absolute;left:0;text-align:left;margin-left:221.25pt;margin-top:135.75pt;width:31.8pt;height:21pt;z-index:251668480;mso-height-percent:200;mso-height-percent:200;mso-width-relative:margin;mso-height-relative:margin" fillcolor="white [3212]" stroked="f">
            <v:textbox style="mso-fit-shape-to-text:t">
              <w:txbxContent>
                <w:p w:rsidR="00AC7D7B" w:rsidRDefault="00AC7D7B" w:rsidP="00D230BE">
                  <w:r>
                    <w:t>xi</w:t>
                  </w:r>
                </w:p>
              </w:txbxContent>
            </v:textbox>
          </v:shape>
        </w:pict>
      </w:r>
      <w:r w:rsidR="00197AA0" w:rsidRPr="005E1D74">
        <w:rPr>
          <w:rFonts w:ascii="Arial" w:hAnsi="Arial" w:cs="Arial"/>
          <w:sz w:val="22"/>
          <w:szCs w:val="22"/>
        </w:rPr>
        <w:t xml:space="preserve">En el marco histórico presentado anteriormente, cabe resaltar el mayor interés que ha venido surgiendo por un mejor desarrollo portuario en el Golfo de Fonseca, además es </w:t>
      </w:r>
      <w:r w:rsidR="00197AA0" w:rsidRPr="005E1D74">
        <w:rPr>
          <w:rFonts w:ascii="Arial" w:hAnsi="Arial" w:cs="Arial"/>
          <w:sz w:val="22"/>
          <w:szCs w:val="22"/>
        </w:rPr>
        <w:lastRenderedPageBreak/>
        <w:t>necesario analizar o estudiar qué tipo de medidas de seguridad deben cumplir los buques que transiten por dicha vía marítima, donde se establezca un marco jurídico regulatorio que estipule las normas a seguir y cumplir para evitar posibles derrames y vertidos</w:t>
      </w:r>
      <w:r w:rsidR="00197AA0" w:rsidRPr="005E1D74">
        <w:rPr>
          <w:rStyle w:val="Refdenotaalpie"/>
          <w:rFonts w:ascii="Arial" w:hAnsi="Arial" w:cs="Arial"/>
          <w:sz w:val="22"/>
          <w:szCs w:val="22"/>
        </w:rPr>
        <w:footnoteReference w:customMarkFollows="1" w:id="10"/>
        <w:sym w:font="Symbol" w:char="F02A"/>
      </w:r>
      <w:r w:rsidR="00197AA0" w:rsidRPr="005E1D74">
        <w:rPr>
          <w:rFonts w:ascii="Arial" w:hAnsi="Arial" w:cs="Arial"/>
          <w:sz w:val="22"/>
          <w:szCs w:val="22"/>
        </w:rPr>
        <w:t xml:space="preserve"> por contaminación de hidrocarburos en los océanos. Además también hacer mención o analizar aquellas medidas técnicas que deben cumplir los buques, según sea el contenido que transporten o que lleven a bordo para garantizar una mayor seguridad tanto para el mismo buque como también para el medio ambiente y vida marítima</w:t>
      </w:r>
      <w:r w:rsidR="00197AA0" w:rsidRPr="005E1D74">
        <w:rPr>
          <w:rStyle w:val="Refdenotaalpie"/>
          <w:rFonts w:ascii="Arial" w:hAnsi="Arial" w:cs="Arial"/>
          <w:sz w:val="22"/>
          <w:szCs w:val="22"/>
        </w:rPr>
        <w:footnoteReference w:id="11"/>
      </w:r>
      <w:r w:rsidR="00197AA0" w:rsidRPr="005E1D74">
        <w:rPr>
          <w:rFonts w:ascii="Arial" w:hAnsi="Arial" w:cs="Arial"/>
          <w:sz w:val="22"/>
          <w:szCs w:val="22"/>
        </w:rPr>
        <w:t>. Es clave también estudiar aquellos mecanismos tales como: tratamiento de descarga de limpieza de los buques, mantenimiento adecuado de las mangueras de drenaje para no contaminar las aguas con los residuos industriales o domésticos, lavado de tanques, etc., que tiene que hacer cumplir el Estado Salvadoreño para hacer del Puerto de La Unión una fuente importante y principal de inversión para las posibles perspectivas de desarrollo.</w:t>
      </w:r>
    </w:p>
    <w:p w:rsidR="00197AA0" w:rsidRPr="00694987" w:rsidRDefault="001D7573" w:rsidP="00694987">
      <w:pPr>
        <w:pStyle w:val="NormalWeb"/>
        <w:spacing w:line="360" w:lineRule="auto"/>
        <w:ind w:firstLine="567"/>
        <w:jc w:val="both"/>
        <w:rPr>
          <w:rFonts w:ascii="Arial" w:hAnsi="Arial" w:cs="Arial"/>
          <w:sz w:val="22"/>
          <w:szCs w:val="22"/>
        </w:rPr>
      </w:pPr>
      <w:r>
        <w:rPr>
          <w:rFonts w:ascii="Arial" w:hAnsi="Arial" w:cs="Arial"/>
          <w:noProof/>
          <w:sz w:val="22"/>
          <w:szCs w:val="22"/>
          <w:lang w:eastAsia="es-ES"/>
        </w:rPr>
        <w:pict>
          <v:shape id="_x0000_s1049" type="#_x0000_t202" style="position:absolute;left:0;text-align:left;margin-left:188.35pt;margin-top:439.2pt;width:31.8pt;height:21pt;z-index:251675648;mso-height-percent:200;mso-height-percent:200;mso-width-relative:margin;mso-height-relative:margin" fillcolor="white [3212]" stroked="f">
            <v:textbox style="mso-next-textbox:#_x0000_s1049;mso-fit-shape-to-text:t">
              <w:txbxContent>
                <w:p w:rsidR="00AC7D7B" w:rsidRDefault="00AC7D7B" w:rsidP="00E825BB">
                  <w:r>
                    <w:t>x</w:t>
                  </w:r>
                </w:p>
              </w:txbxContent>
            </v:textbox>
          </v:shape>
        </w:pict>
      </w:r>
      <w:r w:rsidR="00197AA0" w:rsidRPr="00694987">
        <w:rPr>
          <w:rFonts w:ascii="Arial" w:hAnsi="Arial" w:cs="Arial"/>
          <w:sz w:val="22"/>
          <w:szCs w:val="22"/>
        </w:rPr>
        <w:t>Ante lo anteriormente descrito, es necesario e importante, formularse el problema de investigación general, que consiste en ¿Cuál ha sido la evolución de la regulación marítima internacional, para reducir los niveles de contaminación por hidrocarburos, desde 1950 hasta 2010 y que instrumentos jurídicos internacionales necesita El Salvador adherirse previendo las posibilidades de contaminación a partir de las perspectivas de desarrollo portuario en el Golfo de Fonseca? Ante esto surgen otras interrogantes, como ¿C</w:t>
      </w:r>
      <w:r w:rsidR="00197AA0" w:rsidRPr="00694987">
        <w:rPr>
          <w:rFonts w:ascii="Arial" w:hAnsi="Arial" w:cs="Arial"/>
          <w:color w:val="000000"/>
          <w:sz w:val="22"/>
          <w:szCs w:val="22"/>
        </w:rPr>
        <w:t>uál ha sido la evolución que ha experimentado la regulación marítima internacional en función de reducir los niveles de contaminación por hidrocarburos en los espacios marítimos?, así como también ¿Cuáles son las perspectivas de desarrollo portuario de El Salvador en el Golfo de Fonseca?, y finalmente ¿Cuáles son las perspectivas de contaminación por hidrocarburo en la zona del Golfo de Fonseca frente a la posibilidad de un mayor desarrollo portuario y a que instrumentos jurídicos internacionales necesita El Salvador adherirse?</w:t>
      </w:r>
      <w:r w:rsidR="00197AA0">
        <w:rPr>
          <w:rFonts w:ascii="Arial" w:hAnsi="Arial" w:cs="Arial"/>
          <w:color w:val="000000"/>
          <w:sz w:val="22"/>
          <w:szCs w:val="22"/>
        </w:rPr>
        <w:t xml:space="preserve"> D</w:t>
      </w:r>
      <w:r w:rsidR="00197AA0" w:rsidRPr="00694987">
        <w:rPr>
          <w:rFonts w:ascii="Arial" w:hAnsi="Arial" w:cs="Arial"/>
          <w:sz w:val="22"/>
          <w:szCs w:val="22"/>
        </w:rPr>
        <w:t>e acuerdo a los problemas de investigación planteados anteriormente, es necesario aclarar, cuales son los alcances y límites que se abordaron en el trabajo de investigación, teniendo como alcances, en un primer nivel el estudio de los primeros casos de contaminación por hidrocarburos en los espacios marítimos en el ámbito internacional, en un segundo nivel la evolución de la regulación ante los casos de</w:t>
      </w:r>
      <w:r w:rsidR="00197AA0" w:rsidRPr="005E1D74">
        <w:t xml:space="preserve"> </w:t>
      </w:r>
      <w:r w:rsidR="00197AA0" w:rsidRPr="00694987">
        <w:rPr>
          <w:rFonts w:ascii="Arial" w:hAnsi="Arial" w:cs="Arial"/>
          <w:sz w:val="22"/>
          <w:szCs w:val="22"/>
        </w:rPr>
        <w:lastRenderedPageBreak/>
        <w:t>contaminación por hidrocarburos en los espacios marítimos, en un tercer nivel, el análisis del desarrollo portuario del Golfo de Fonseca, las posibilidades de contaminación por hidrocarburos en la zona, al mismo tiempo cabe aclarar que se abordó de manera breve el tema de la concesión en relación a la cuestión de la seguridad marítima y contaminación por hidrocarburos y no de manera general; y finalmente estudiar qué medidas de carácter legal es necesario adoptar por parte de El Salvador ante un posible desarrollo portuario. Como límites no se abordaron aspectos como el impacto social, causado por la posible contaminación por hidrocarburos en los espacios marítimos, tampoco se abordó el factor económico que tendrá el desarrollo portuario en relación a: fuentes de empleo (formales e informales) e inversiones.</w:t>
      </w:r>
    </w:p>
    <w:p w:rsidR="00197AA0" w:rsidRDefault="00197AA0" w:rsidP="005E1D74">
      <w:pPr>
        <w:spacing w:line="360" w:lineRule="auto"/>
        <w:ind w:firstLine="567"/>
        <w:jc w:val="both"/>
        <w:rPr>
          <w:rFonts w:ascii="Arial" w:hAnsi="Arial" w:cs="Arial"/>
          <w:sz w:val="22"/>
          <w:szCs w:val="22"/>
        </w:rPr>
      </w:pPr>
      <w:r w:rsidRPr="00694987">
        <w:rPr>
          <w:rFonts w:ascii="Arial" w:hAnsi="Arial" w:cs="Arial"/>
          <w:sz w:val="22"/>
          <w:szCs w:val="22"/>
        </w:rPr>
        <w:t>El presente trabajo de investigación, se decidió llevarlo a cabo porque es un tema muy relevante y de mucho auge en la actualidad ya que de todos los medios de transporte, el marítimo es el que mueve</w:t>
      </w:r>
      <w:r w:rsidRPr="005E1D74">
        <w:rPr>
          <w:rFonts w:ascii="Arial" w:hAnsi="Arial" w:cs="Arial"/>
          <w:sz w:val="22"/>
          <w:szCs w:val="22"/>
        </w:rPr>
        <w:t xml:space="preserve"> mayor volumen de mercancías en todo el comercio internacional, es por lo tanto que este mismo es prácticamente el único medio económico para transportar grandes volúmenes de mercancías entre lugares geográficamente distantes, ya que específicamente más del 80% del volumen del comercio mundial es transportado por vía marítima, este mismo continua siendo el pilar en que se apoya el comercio internacional. En el año 2007, el volumen del comercio marítimo internacional llego a 8,020 millones de toneladas, lo que representa un aumento del 4.8% con respecto al año anterior</w:t>
      </w:r>
      <w:r w:rsidRPr="005E1D74">
        <w:rPr>
          <w:rStyle w:val="Refdenotaalpie"/>
          <w:rFonts w:ascii="Arial" w:hAnsi="Arial" w:cs="Arial"/>
          <w:sz w:val="22"/>
          <w:szCs w:val="22"/>
        </w:rPr>
        <w:footnoteReference w:id="12"/>
      </w:r>
      <w:r w:rsidRPr="005E1D74">
        <w:rPr>
          <w:rFonts w:ascii="Arial" w:hAnsi="Arial" w:cs="Arial"/>
          <w:sz w:val="22"/>
          <w:szCs w:val="22"/>
        </w:rPr>
        <w:t>. Es por esta razón, que se deriva la importancia de abordar la presente investigación, ya que también al tener un mayor papel el sector marítimo se incrementan las posibilidades de riesgo de contaminación de cualquier tipo en el área marítima, y también de aquí se puede derivar la importancia que este tema tiene actualmente, sobre todo en la realidad nacional de El Salvador, que se encuentra impulsando un desarrollo portuario en la zona del Golfo de Fonseca.</w:t>
      </w:r>
    </w:p>
    <w:p w:rsidR="00197AA0" w:rsidRPr="005E1D74" w:rsidRDefault="00197AA0" w:rsidP="005E1D74">
      <w:pPr>
        <w:spacing w:line="360" w:lineRule="auto"/>
        <w:ind w:firstLine="567"/>
        <w:jc w:val="both"/>
        <w:rPr>
          <w:rFonts w:ascii="Arial" w:hAnsi="Arial" w:cs="Arial"/>
          <w:sz w:val="22"/>
          <w:szCs w:val="22"/>
        </w:rPr>
      </w:pPr>
    </w:p>
    <w:p w:rsidR="00197AA0" w:rsidRDefault="001D7573" w:rsidP="005E1D74">
      <w:pPr>
        <w:autoSpaceDE w:val="0"/>
        <w:autoSpaceDN w:val="0"/>
        <w:adjustRightInd w:val="0"/>
        <w:spacing w:line="360" w:lineRule="auto"/>
        <w:ind w:firstLine="567"/>
        <w:jc w:val="both"/>
        <w:rPr>
          <w:rFonts w:ascii="Arial" w:hAnsi="Arial" w:cs="Arial"/>
          <w:sz w:val="22"/>
          <w:szCs w:val="22"/>
          <w:lang w:val="es-MX" w:eastAsia="es-MX"/>
        </w:rPr>
      </w:pPr>
      <w:r>
        <w:rPr>
          <w:rFonts w:ascii="Arial" w:hAnsi="Arial" w:cs="Arial"/>
          <w:noProof/>
          <w:sz w:val="22"/>
          <w:szCs w:val="22"/>
        </w:rPr>
        <w:pict>
          <v:shape id="_x0000_s1040" type="#_x0000_t202" style="position:absolute;left:0;text-align:left;margin-left:205.3pt;margin-top:171.15pt;width:31.8pt;height:21pt;z-index:251669504;mso-height-percent:200;mso-height-percent:200;mso-width-relative:margin;mso-height-relative:margin" fillcolor="white [3212]" stroked="f">
            <v:textbox style="mso-next-textbox:#_x0000_s1040;mso-fit-shape-to-text:t">
              <w:txbxContent>
                <w:p w:rsidR="00AC7D7B" w:rsidRDefault="00AC7D7B" w:rsidP="00D230BE">
                  <w:r>
                    <w:t>xi</w:t>
                  </w:r>
                </w:p>
              </w:txbxContent>
            </v:textbox>
          </v:shape>
        </w:pict>
      </w:r>
      <w:r w:rsidR="00197AA0" w:rsidRPr="005E1D74">
        <w:rPr>
          <w:rFonts w:ascii="Arial" w:hAnsi="Arial" w:cs="Arial"/>
          <w:sz w:val="22"/>
          <w:szCs w:val="22"/>
        </w:rPr>
        <w:t xml:space="preserve">Así mismo resulta fundamental destacar que se utilizó la teoría neoliberal. </w:t>
      </w:r>
      <w:r w:rsidR="00197AA0" w:rsidRPr="005E1D74">
        <w:rPr>
          <w:rFonts w:ascii="Arial" w:hAnsi="Arial" w:cs="Arial"/>
          <w:sz w:val="22"/>
          <w:szCs w:val="22"/>
          <w:lang w:val="es-MX" w:eastAsia="es-MX"/>
        </w:rPr>
        <w:t xml:space="preserve">Las principales ideas de la teoría liberal, y (luego reformuladas en el neoliberalismo) han coincidido en los períodos en los que han acontecido los casos de contaminación por hidrocarburos; por mencionar el primero de los más emblemáticos, como fue el de Torrey Canyon de 1967, abordados en la presente investigación, casos que hicieron posible una </w:t>
      </w:r>
      <w:r w:rsidR="00197AA0" w:rsidRPr="005E1D74">
        <w:rPr>
          <w:rFonts w:ascii="Arial" w:hAnsi="Arial" w:cs="Arial"/>
          <w:sz w:val="22"/>
          <w:szCs w:val="22"/>
          <w:lang w:val="es-MX" w:eastAsia="es-MX"/>
        </w:rPr>
        <w:lastRenderedPageBreak/>
        <w:t xml:space="preserve">regulación más activa para evitar la contaminación de los espacios marítimos. Validando de esta forma las principales tesis del pensamiento liberal. </w:t>
      </w:r>
    </w:p>
    <w:p w:rsidR="00197AA0" w:rsidRPr="005E1D74" w:rsidRDefault="00197AA0" w:rsidP="005E1D74">
      <w:pPr>
        <w:autoSpaceDE w:val="0"/>
        <w:autoSpaceDN w:val="0"/>
        <w:adjustRightInd w:val="0"/>
        <w:spacing w:line="360" w:lineRule="auto"/>
        <w:ind w:firstLine="567"/>
        <w:jc w:val="both"/>
        <w:rPr>
          <w:rFonts w:ascii="Arial" w:hAnsi="Arial" w:cs="Arial"/>
          <w:sz w:val="22"/>
          <w:szCs w:val="22"/>
          <w:lang w:val="es-MX" w:eastAsia="es-MX"/>
        </w:rPr>
      </w:pPr>
    </w:p>
    <w:p w:rsidR="00197AA0" w:rsidRDefault="00197AA0" w:rsidP="005E1D74">
      <w:pPr>
        <w:tabs>
          <w:tab w:val="left" w:pos="1350"/>
        </w:tabs>
        <w:spacing w:line="360" w:lineRule="auto"/>
        <w:ind w:firstLine="567"/>
        <w:jc w:val="both"/>
        <w:rPr>
          <w:rFonts w:ascii="Arial" w:hAnsi="Arial" w:cs="Arial"/>
          <w:sz w:val="22"/>
          <w:szCs w:val="22"/>
        </w:rPr>
      </w:pPr>
      <w:r w:rsidRPr="005E1D74">
        <w:rPr>
          <w:rFonts w:ascii="Arial" w:hAnsi="Arial" w:cs="Arial"/>
          <w:sz w:val="22"/>
          <w:szCs w:val="22"/>
        </w:rPr>
        <w:t>Resulta interesante que el objeto de estudio de este trabajo, es un tema de mucha trascendencia en la actualidad, ya que el mayor volumen del comercio mundial es transportado por vía marítima y este mismo continúa siendo el pilar en que se apoya el comercio internacional, también resulta importante destacar que existe una serie de factores tales como los medioambientales y los económicos que están relacionados con la regulación marítima internacional respectiva a la reducción de contaminación marítima por hidrocarburos. Los neoliberalistas</w:t>
      </w:r>
      <w:r w:rsidRPr="005E1D74">
        <w:rPr>
          <w:rStyle w:val="Refdenotaalpie"/>
          <w:rFonts w:ascii="Arial" w:hAnsi="Arial" w:cs="Arial"/>
          <w:sz w:val="22"/>
          <w:szCs w:val="22"/>
        </w:rPr>
        <w:footnoteReference w:customMarkFollows="1" w:id="13"/>
        <w:sym w:font="Symbol" w:char="F02A"/>
      </w:r>
      <w:r w:rsidRPr="005E1D74">
        <w:rPr>
          <w:rFonts w:ascii="Arial" w:hAnsi="Arial" w:cs="Arial"/>
          <w:sz w:val="22"/>
          <w:szCs w:val="22"/>
        </w:rPr>
        <w:t xml:space="preserve"> al respecto consideraban que las prioridades económicas son básicas para los Estados, sostenían también que la sensibilidad de los Estados con respecto a las ganancias relativas, está influenciada por las percepciones de esos Estados. En lo respectivo a factores medioambientales Robert Keohane se refiere a la contaminación como “males públicos”,  resultados de los “fallos de mercado”, que son el resultado de un mercado imperfecto y una sociedad anárquica</w:t>
      </w:r>
      <w:r w:rsidRPr="005E1D74">
        <w:rPr>
          <w:rStyle w:val="Refdenotaalpie"/>
          <w:rFonts w:ascii="Arial" w:hAnsi="Arial" w:cs="Arial"/>
          <w:sz w:val="22"/>
          <w:szCs w:val="22"/>
        </w:rPr>
        <w:footnoteReference w:id="14"/>
      </w:r>
      <w:r w:rsidRPr="005E1D74">
        <w:rPr>
          <w:rFonts w:ascii="Arial" w:hAnsi="Arial" w:cs="Arial"/>
          <w:sz w:val="22"/>
          <w:szCs w:val="22"/>
        </w:rPr>
        <w:t>. De ahí el papel principal que tienen que cumplir las Instituciones</w:t>
      </w:r>
      <w:r w:rsidRPr="005E1D74">
        <w:rPr>
          <w:rStyle w:val="Refdenotaalpie"/>
          <w:rFonts w:ascii="Arial" w:hAnsi="Arial" w:cs="Arial"/>
          <w:sz w:val="22"/>
          <w:szCs w:val="22"/>
        </w:rPr>
        <w:footnoteReference w:customMarkFollows="1" w:id="15"/>
        <w:sym w:font="Symbol" w:char="F02A"/>
      </w:r>
      <w:r w:rsidRPr="005E1D74">
        <w:rPr>
          <w:rStyle w:val="Refdenotaalpie"/>
          <w:rFonts w:ascii="Arial" w:hAnsi="Arial" w:cs="Arial"/>
          <w:sz w:val="22"/>
          <w:szCs w:val="22"/>
        </w:rPr>
        <w:sym w:font="Symbol" w:char="F02A"/>
      </w:r>
      <w:r w:rsidRPr="005E1D74">
        <w:rPr>
          <w:rFonts w:ascii="Arial" w:hAnsi="Arial" w:cs="Arial"/>
          <w:sz w:val="22"/>
          <w:szCs w:val="22"/>
        </w:rPr>
        <w:t xml:space="preserve"> es hacer valer los factores económicos y medioambientales; que se genere confianza en las instituciones para crear una serie de mecanismos y convenios que ayuden de una mejor manera a reducir los altos niveles de contaminación en los espacios marítimos internacionales y de esta misma forma poder responder ante los sucesos de mayor conmoción  internacional,  que han acontecido desde mediados del siglo XX hasta la actualidad. </w:t>
      </w:r>
    </w:p>
    <w:p w:rsidR="00197AA0" w:rsidRDefault="00197AA0" w:rsidP="005E1D74">
      <w:pPr>
        <w:tabs>
          <w:tab w:val="left" w:pos="1350"/>
        </w:tabs>
        <w:spacing w:line="360" w:lineRule="auto"/>
        <w:ind w:firstLine="567"/>
        <w:jc w:val="both"/>
        <w:rPr>
          <w:rFonts w:ascii="Arial" w:hAnsi="Arial" w:cs="Arial"/>
          <w:sz w:val="22"/>
          <w:szCs w:val="22"/>
        </w:rPr>
      </w:pPr>
    </w:p>
    <w:p w:rsidR="00197AA0" w:rsidRDefault="001D7573" w:rsidP="005E1D74">
      <w:pPr>
        <w:tabs>
          <w:tab w:val="left" w:pos="1350"/>
        </w:tabs>
        <w:spacing w:line="360" w:lineRule="auto"/>
        <w:ind w:firstLine="567"/>
        <w:jc w:val="both"/>
        <w:rPr>
          <w:rFonts w:ascii="Arial" w:hAnsi="Arial" w:cs="Arial"/>
          <w:i/>
          <w:iCs/>
          <w:sz w:val="22"/>
          <w:szCs w:val="22"/>
        </w:rPr>
      </w:pPr>
      <w:r w:rsidRPr="001D7573">
        <w:rPr>
          <w:rFonts w:ascii="Arial" w:hAnsi="Arial" w:cs="Arial"/>
          <w:noProof/>
          <w:sz w:val="22"/>
          <w:szCs w:val="22"/>
        </w:rPr>
        <w:pict>
          <v:shape id="_x0000_s1041" type="#_x0000_t202" style="position:absolute;left:0;text-align:left;margin-left:188.85pt;margin-top:258.65pt;width:31.8pt;height:21pt;z-index:251670528;mso-height-percent:200;mso-height-percent:200;mso-width-relative:margin;mso-height-relative:margin" fillcolor="white [3212]" stroked="f">
            <v:textbox style="mso-next-textbox:#_x0000_s1041;mso-fit-shape-to-text:t">
              <w:txbxContent>
                <w:p w:rsidR="00AC7D7B" w:rsidRDefault="00AC7D7B" w:rsidP="00D230BE">
                  <w:r>
                    <w:t>xii</w:t>
                  </w:r>
                </w:p>
              </w:txbxContent>
            </v:textbox>
          </v:shape>
        </w:pict>
      </w:r>
      <w:r w:rsidR="00197AA0" w:rsidRPr="005E1D74">
        <w:rPr>
          <w:rFonts w:ascii="Arial" w:hAnsi="Arial" w:cs="Arial"/>
          <w:sz w:val="22"/>
          <w:szCs w:val="22"/>
        </w:rPr>
        <w:t xml:space="preserve">De acuerdo a las perspectivas del desarrollo portuario en el Golfo de Fonseca cabe destacar la importancia de la situación actual en materia de legislación marítima por contaminación de hidrocarburos, la cual se puede identificar con una de las características de la teoría neoliberal, dado que en la escena internacional, los mercados se van adaptando a las exigencias del mismo, involucrando a otros actores como lo son: Empresas multinacionales, agencias internacionales, dependencias estatales, etc. Todas </w:t>
      </w:r>
      <w:r w:rsidR="00197AA0" w:rsidRPr="005E1D74">
        <w:rPr>
          <w:rFonts w:ascii="Arial" w:hAnsi="Arial" w:cs="Arial"/>
          <w:sz w:val="22"/>
          <w:szCs w:val="22"/>
        </w:rPr>
        <w:lastRenderedPageBreak/>
        <w:t>estas instancias confluyen en el proceso antes mencionado, cuyo nombre es Régimen Internacional</w:t>
      </w:r>
      <w:r w:rsidR="00197AA0" w:rsidRPr="005E1D74">
        <w:rPr>
          <w:rStyle w:val="Refdenotaalpie"/>
          <w:rFonts w:ascii="Arial" w:hAnsi="Arial" w:cs="Arial"/>
          <w:sz w:val="22"/>
          <w:szCs w:val="22"/>
        </w:rPr>
        <w:footnoteReference w:customMarkFollows="1" w:id="16"/>
        <w:sym w:font="Symbol" w:char="F02A"/>
      </w:r>
      <w:r w:rsidR="00197AA0" w:rsidRPr="005E1D74">
        <w:rPr>
          <w:rFonts w:ascii="Arial" w:hAnsi="Arial" w:cs="Arial"/>
          <w:sz w:val="22"/>
          <w:szCs w:val="22"/>
        </w:rPr>
        <w:t xml:space="preserve">; de esta forma, </w:t>
      </w:r>
      <w:r w:rsidR="00197AA0" w:rsidRPr="005E1D74">
        <w:rPr>
          <w:rFonts w:ascii="Arial" w:hAnsi="Arial" w:cs="Arial"/>
          <w:i/>
          <w:iCs/>
          <w:sz w:val="22"/>
          <w:szCs w:val="22"/>
        </w:rPr>
        <w:t>no se trata ni de procesos exógenos a los Estados e impuestos desde los ámbitos, internacional y global; ni estrictamente de procesos endógenos de los Estados; sino de una construcción producto de la interacción entre agentes y entre éstos y la estructura regional, internacional y global</w:t>
      </w:r>
      <w:r w:rsidR="00197AA0" w:rsidRPr="005E1D74">
        <w:rPr>
          <w:rStyle w:val="Refdenotaalpie"/>
          <w:rFonts w:ascii="Arial" w:hAnsi="Arial" w:cs="Arial"/>
          <w:i/>
          <w:iCs/>
          <w:sz w:val="22"/>
          <w:szCs w:val="22"/>
        </w:rPr>
        <w:footnoteReference w:id="17"/>
      </w:r>
      <w:r w:rsidR="00197AA0" w:rsidRPr="005E1D74">
        <w:rPr>
          <w:rFonts w:ascii="Arial" w:hAnsi="Arial" w:cs="Arial"/>
          <w:i/>
          <w:iCs/>
          <w:sz w:val="22"/>
          <w:szCs w:val="22"/>
        </w:rPr>
        <w:t>.</w:t>
      </w:r>
    </w:p>
    <w:p w:rsidR="00197AA0" w:rsidRPr="005E1D74" w:rsidRDefault="00197AA0" w:rsidP="005E1D74">
      <w:pPr>
        <w:tabs>
          <w:tab w:val="left" w:pos="1350"/>
        </w:tabs>
        <w:spacing w:line="360" w:lineRule="auto"/>
        <w:ind w:firstLine="567"/>
        <w:jc w:val="both"/>
        <w:rPr>
          <w:rFonts w:ascii="Arial" w:hAnsi="Arial" w:cs="Arial"/>
          <w:i/>
          <w:iCs/>
          <w:sz w:val="22"/>
          <w:szCs w:val="22"/>
        </w:rPr>
      </w:pPr>
    </w:p>
    <w:p w:rsidR="00197AA0" w:rsidRDefault="00197AA0" w:rsidP="005E1D74">
      <w:pPr>
        <w:spacing w:line="360" w:lineRule="auto"/>
        <w:ind w:firstLine="567"/>
        <w:jc w:val="both"/>
        <w:rPr>
          <w:rFonts w:ascii="Arial" w:hAnsi="Arial" w:cs="Arial"/>
          <w:sz w:val="22"/>
          <w:szCs w:val="22"/>
        </w:rPr>
      </w:pPr>
      <w:r w:rsidRPr="005E1D74">
        <w:rPr>
          <w:rFonts w:ascii="Arial" w:hAnsi="Arial" w:cs="Arial"/>
          <w:sz w:val="22"/>
          <w:szCs w:val="22"/>
        </w:rPr>
        <w:t>Ahora bien, también es necesario dejar en claro el método y la técnica que se utilizaron para poder llevar a cabo de la mejor manera la presente investigación, el método idóneo que se aplicó fue el dialéctico, que es uno de los métodos utilizados por Severo Iglesias</w:t>
      </w:r>
      <w:r w:rsidRPr="005E1D74">
        <w:rPr>
          <w:rStyle w:val="Refdenotaalpie"/>
          <w:rFonts w:ascii="Arial" w:hAnsi="Arial" w:cs="Arial"/>
          <w:sz w:val="22"/>
          <w:szCs w:val="22"/>
        </w:rPr>
        <w:footnoteReference w:customMarkFollows="1" w:id="18"/>
        <w:sym w:font="Symbol" w:char="F02A"/>
      </w:r>
      <w:r w:rsidRPr="005E1D74">
        <w:rPr>
          <w:rStyle w:val="Refdenotaalpie"/>
          <w:rFonts w:ascii="Arial" w:hAnsi="Arial" w:cs="Arial"/>
          <w:sz w:val="22"/>
          <w:szCs w:val="22"/>
        </w:rPr>
        <w:sym w:font="Symbol" w:char="F02A"/>
      </w:r>
      <w:r w:rsidRPr="005E1D74">
        <w:rPr>
          <w:rFonts w:ascii="Arial" w:hAnsi="Arial" w:cs="Arial"/>
          <w:sz w:val="22"/>
          <w:szCs w:val="22"/>
        </w:rPr>
        <w:t>.</w:t>
      </w:r>
    </w:p>
    <w:p w:rsidR="00197AA0" w:rsidRPr="005E1D74" w:rsidRDefault="00197AA0" w:rsidP="005E1D74">
      <w:pPr>
        <w:spacing w:line="360" w:lineRule="auto"/>
        <w:ind w:firstLine="567"/>
        <w:jc w:val="both"/>
        <w:rPr>
          <w:rFonts w:ascii="Arial" w:hAnsi="Arial" w:cs="Arial"/>
          <w:sz w:val="22"/>
          <w:szCs w:val="22"/>
        </w:rPr>
      </w:pPr>
    </w:p>
    <w:p w:rsidR="00197AA0" w:rsidRDefault="00197AA0" w:rsidP="005E1D74">
      <w:pPr>
        <w:spacing w:line="360" w:lineRule="auto"/>
        <w:ind w:firstLine="567"/>
        <w:jc w:val="both"/>
        <w:rPr>
          <w:rFonts w:ascii="Arial" w:hAnsi="Arial" w:cs="Arial"/>
          <w:sz w:val="22"/>
          <w:szCs w:val="22"/>
          <w:lang w:val="es-ES_tradnl"/>
        </w:rPr>
      </w:pPr>
      <w:r w:rsidRPr="005E1D74">
        <w:rPr>
          <w:rFonts w:ascii="Arial" w:hAnsi="Arial" w:cs="Arial"/>
          <w:sz w:val="22"/>
          <w:szCs w:val="22"/>
        </w:rPr>
        <w:t xml:space="preserve"> Es importante mencionar la razón del porqué se escogió el método dialéctico dentro de una gran diversidad de métodos de investigación científica, y ha sido así debido a que se considera que se puede aplicar muy bien al análisis de la problemática sobre la evolución de la regulación marítima internacional para reducir los niveles de contaminación por hidrocarburos desde mediados del Siglo XX hasta la actualidad y las perspectivas de desarrollo portuario en el Golfo de Fonseca, ya que prácticamente el método dialéctico </w:t>
      </w:r>
      <w:r w:rsidRPr="005E1D74">
        <w:rPr>
          <w:rFonts w:ascii="Arial" w:hAnsi="Arial" w:cs="Arial"/>
          <w:sz w:val="22"/>
          <w:szCs w:val="22"/>
          <w:lang w:val="es-ES_tradnl"/>
        </w:rPr>
        <w:t xml:space="preserve">considera los objetos y los fenómenos en proceso de desarrollo, tal es el caso de la regulación marítima internacional que en las últimas décadas ha venido cobrando una mayor importancia, debido a los impactos y efectos que han dejado los grandes accidentes por hidrocarburos en el mar, así como las operaciones cotidianas de limpieza de los buques en los puertos que también son grandes causas de contaminación. La investigación con este método lleva implícita una transformación de la realidad. El análisis y la síntesis utilizados en el proceso de abstracción deben ser guiados por las categorías de la dialéctica materialista (contradicciones, contenido, forma, causa y efecto, entre otras), de tal forma que la abstracción mental permita reproducir los procesos y los objetos en su desarrollo y transformación. </w:t>
      </w:r>
    </w:p>
    <w:p w:rsidR="00197AA0" w:rsidRPr="005E1D74" w:rsidRDefault="001D7573" w:rsidP="005E1D74">
      <w:pPr>
        <w:spacing w:line="360" w:lineRule="auto"/>
        <w:ind w:firstLine="567"/>
        <w:jc w:val="both"/>
        <w:rPr>
          <w:rFonts w:ascii="Arial" w:hAnsi="Arial" w:cs="Arial"/>
          <w:sz w:val="22"/>
          <w:szCs w:val="22"/>
          <w:lang w:val="es-ES_tradnl"/>
        </w:rPr>
      </w:pPr>
      <w:r>
        <w:rPr>
          <w:rFonts w:ascii="Arial" w:hAnsi="Arial" w:cs="Arial"/>
          <w:noProof/>
          <w:sz w:val="22"/>
          <w:szCs w:val="22"/>
        </w:rPr>
        <w:pict>
          <v:shape id="_x0000_s1042" type="#_x0000_t202" style="position:absolute;left:0;text-align:left;margin-left:198.4pt;margin-top:167.35pt;width:31.8pt;height:21pt;z-index:251671552;mso-height-percent:200;mso-height-percent:200;mso-width-relative:margin;mso-height-relative:margin" fillcolor="white [3212]" stroked="f">
            <v:textbox style="mso-next-textbox:#_x0000_s1042;mso-fit-shape-to-text:t">
              <w:txbxContent>
                <w:p w:rsidR="00AC7D7B" w:rsidRDefault="00AC7D7B" w:rsidP="00D230BE">
                  <w:r>
                    <w:t>xiii</w:t>
                  </w:r>
                </w:p>
              </w:txbxContent>
            </v:textbox>
          </v:shape>
        </w:pict>
      </w:r>
    </w:p>
    <w:p w:rsidR="00197AA0" w:rsidRDefault="00197AA0" w:rsidP="005E1D74">
      <w:pPr>
        <w:spacing w:line="360" w:lineRule="auto"/>
        <w:ind w:firstLine="567"/>
        <w:jc w:val="both"/>
        <w:rPr>
          <w:rFonts w:ascii="Arial" w:hAnsi="Arial" w:cs="Arial"/>
          <w:sz w:val="22"/>
          <w:szCs w:val="22"/>
        </w:rPr>
      </w:pPr>
      <w:r w:rsidRPr="005E1D74">
        <w:rPr>
          <w:rFonts w:ascii="Arial" w:hAnsi="Arial" w:cs="Arial"/>
          <w:sz w:val="22"/>
          <w:szCs w:val="22"/>
        </w:rPr>
        <w:lastRenderedPageBreak/>
        <w:t>Es por lo tanto que con el método seleccionado se puede abordar un análisis de cómo la regulación marítima internacional ha venido evolucionando, ya que se tomaría una perspectiva histórica para poder observar este desarrollo, en el cual además se mencionarían los grandes accidentes por hidrocarburos, que debido a su impacto y efectos, han acelerado esta regulación.</w:t>
      </w:r>
    </w:p>
    <w:p w:rsidR="00197AA0" w:rsidRPr="005E1D74" w:rsidRDefault="00197AA0" w:rsidP="005E1D74">
      <w:pPr>
        <w:spacing w:line="360" w:lineRule="auto"/>
        <w:ind w:firstLine="567"/>
        <w:jc w:val="both"/>
        <w:rPr>
          <w:rFonts w:ascii="Arial" w:hAnsi="Arial" w:cs="Arial"/>
          <w:sz w:val="22"/>
          <w:szCs w:val="22"/>
        </w:rPr>
      </w:pPr>
    </w:p>
    <w:p w:rsidR="00197AA0" w:rsidRDefault="00197AA0" w:rsidP="005E1D74">
      <w:pPr>
        <w:tabs>
          <w:tab w:val="left" w:pos="1350"/>
        </w:tabs>
        <w:spacing w:line="360" w:lineRule="auto"/>
        <w:ind w:firstLine="567"/>
        <w:jc w:val="both"/>
        <w:rPr>
          <w:rFonts w:ascii="Arial" w:hAnsi="Arial" w:cs="Arial"/>
          <w:sz w:val="22"/>
          <w:szCs w:val="22"/>
          <w:lang w:val="es-ES_tradnl"/>
        </w:rPr>
      </w:pPr>
      <w:r w:rsidRPr="005E1D74">
        <w:rPr>
          <w:rFonts w:ascii="Arial" w:hAnsi="Arial" w:cs="Arial"/>
          <w:sz w:val="22"/>
          <w:szCs w:val="22"/>
        </w:rPr>
        <w:t xml:space="preserve">Con respecto a la técnica, es importante aclarar que ésta es </w:t>
      </w:r>
      <w:r w:rsidRPr="005E1D74">
        <w:rPr>
          <w:rFonts w:ascii="Arial" w:hAnsi="Arial" w:cs="Arial"/>
          <w:sz w:val="22"/>
          <w:szCs w:val="22"/>
          <w:lang w:val="es-ES_tradnl"/>
        </w:rPr>
        <w:t>indispensable en el proceso de la investigación científica que se realizó, ya que de acuerdo a la naturaleza de la investigación, se abordó tanto la técnica documental como la técnica de campo ya que la primera permitió la recopilación de información que se obtuvo para enunciar la teorías que sustentan el estudio de los fenómenos y los procesos, todo esto se realizó con la utilización de libros, tesis, revistas, artículos, sitios web;  y la técnica de campo permitió la observación en contacto directo con el objeto de estudio, y el acopio de testimonios que permitieron confrontar la teoría con la práctica en la búsqueda de la verdad objetiva. También es importante destacar la utilización de entrevistas que fueron un instrumento valioso para la recopilación de la información de lo que se investigó.</w:t>
      </w:r>
    </w:p>
    <w:p w:rsidR="00197AA0" w:rsidRPr="005E1D74" w:rsidRDefault="00197AA0" w:rsidP="005E1D74">
      <w:pPr>
        <w:tabs>
          <w:tab w:val="left" w:pos="1350"/>
        </w:tabs>
        <w:spacing w:line="360" w:lineRule="auto"/>
        <w:ind w:firstLine="567"/>
        <w:jc w:val="both"/>
        <w:rPr>
          <w:rFonts w:ascii="Arial" w:hAnsi="Arial" w:cs="Arial"/>
          <w:sz w:val="22"/>
          <w:szCs w:val="22"/>
          <w:lang w:val="es-ES_tradnl"/>
        </w:rPr>
      </w:pPr>
    </w:p>
    <w:p w:rsidR="00197AA0" w:rsidRDefault="00197AA0" w:rsidP="005E1D74">
      <w:pPr>
        <w:spacing w:line="360" w:lineRule="auto"/>
        <w:ind w:firstLine="567"/>
        <w:jc w:val="both"/>
        <w:rPr>
          <w:rFonts w:ascii="Arial" w:hAnsi="Arial" w:cs="Arial"/>
          <w:sz w:val="22"/>
          <w:szCs w:val="22"/>
        </w:rPr>
      </w:pPr>
      <w:r w:rsidRPr="005E1D74">
        <w:rPr>
          <w:rFonts w:ascii="Arial" w:hAnsi="Arial" w:cs="Arial"/>
          <w:sz w:val="22"/>
          <w:szCs w:val="22"/>
        </w:rPr>
        <w:t>Finalmente como hipótesis general en respuesta a los problemas de investigación, se estableció que la regulación marítima internacional sí ha tenido una notable evolución a lo largo de la historia. Ya que a comparación de años anteriores, en la actualidad se vetará el 50% de buques que han sido deficientes en materia de seguridad marítima, que naveguen por no ser de doble casco, así como también se ejercerá un control más estricto sobre las sociedades de verificación que comprueban la calidad de la estructura de los buques, por lo cual El Salvador necesita ajustarse a la dinámica internacional con la adhesión de los convenios que aún se encuentran en estudio tales son SOLAS 74/78, MARPOL 73/78, FONDO. Además destacar que con respecto al desarrollo portuario, las perspectivas de este serán grandes si se logra crear una serie de factores favorables, como la utilización de las cartas náuticas, contar con grúas Post - Pánamax que ayuden a trasladar contenedores, así como también una integración vertical (relación del sector marítimo con el sector transporte terrestre) y horizontal (relación entre todo el sector de los buques con otros de la región) y finalmente contar con un personal especializado en aspectos relacionados a la contaminación marina por hidrocarburos  y servicios marítimos portuarios.</w:t>
      </w:r>
    </w:p>
    <w:p w:rsidR="00197AA0" w:rsidRDefault="001D7573" w:rsidP="005E1D74">
      <w:pPr>
        <w:spacing w:line="360" w:lineRule="auto"/>
        <w:ind w:firstLine="567"/>
        <w:jc w:val="both"/>
        <w:rPr>
          <w:rFonts w:ascii="Arial" w:hAnsi="Arial" w:cs="Arial"/>
          <w:sz w:val="22"/>
          <w:szCs w:val="22"/>
        </w:rPr>
      </w:pPr>
      <w:r>
        <w:rPr>
          <w:rFonts w:ascii="Arial" w:hAnsi="Arial" w:cs="Arial"/>
          <w:noProof/>
          <w:sz w:val="22"/>
          <w:szCs w:val="22"/>
        </w:rPr>
        <w:pict>
          <v:shape id="_x0000_s1043" type="#_x0000_t202" style="position:absolute;left:0;text-align:left;margin-left:198.25pt;margin-top:45pt;width:31.8pt;height:21pt;z-index:251672576;mso-height-percent:200;mso-height-percent:200;mso-width-relative:margin;mso-height-relative:margin" fillcolor="white [3212]" stroked="f">
            <v:textbox style="mso-next-textbox:#_x0000_s1043;mso-fit-shape-to-text:t">
              <w:txbxContent>
                <w:p w:rsidR="00AC7D7B" w:rsidRDefault="00AC7D7B" w:rsidP="00D230BE">
                  <w:r>
                    <w:t>xiv</w:t>
                  </w:r>
                </w:p>
              </w:txbxContent>
            </v:textbox>
          </v:shape>
        </w:pict>
      </w:r>
    </w:p>
    <w:p w:rsidR="00197AA0" w:rsidRPr="00816BCE" w:rsidRDefault="00197AA0" w:rsidP="00232C32">
      <w:pPr>
        <w:spacing w:line="360" w:lineRule="auto"/>
        <w:ind w:right="44"/>
        <w:jc w:val="both"/>
        <w:rPr>
          <w:rFonts w:ascii="Arial" w:hAnsi="Arial" w:cs="Arial"/>
          <w:b/>
          <w:sz w:val="22"/>
          <w:szCs w:val="22"/>
        </w:rPr>
      </w:pPr>
      <w:r w:rsidRPr="00816BCE">
        <w:rPr>
          <w:rFonts w:ascii="Arial" w:hAnsi="Arial" w:cs="Arial"/>
          <w:b/>
          <w:sz w:val="22"/>
          <w:szCs w:val="22"/>
        </w:rPr>
        <w:lastRenderedPageBreak/>
        <w:t>CAPÍTULO I: EVOLUCIÓN DE LA REGULACIÓN MARÍTIMA INTERNACIONAL PARA REDUCIR LA CONTAMINACIÓN POR HIDROCARBUROS DESDE 1950 HASTA 2010</w:t>
      </w:r>
    </w:p>
    <w:p w:rsidR="00197AA0" w:rsidRPr="00816BCE" w:rsidRDefault="00197AA0" w:rsidP="00232C32">
      <w:pPr>
        <w:spacing w:before="100" w:beforeAutospacing="1" w:after="100" w:afterAutospacing="1" w:line="360" w:lineRule="auto"/>
        <w:ind w:right="44" w:firstLine="567"/>
        <w:jc w:val="both"/>
        <w:rPr>
          <w:rFonts w:ascii="Arial" w:hAnsi="Arial" w:cs="Arial"/>
          <w:sz w:val="22"/>
          <w:szCs w:val="22"/>
        </w:rPr>
      </w:pPr>
      <w:r w:rsidRPr="00816BCE">
        <w:rPr>
          <w:rFonts w:ascii="Arial" w:hAnsi="Arial" w:cs="Arial"/>
          <w:sz w:val="22"/>
          <w:szCs w:val="22"/>
        </w:rPr>
        <w:t>Es importante destacar que de las 5,400 millones de toneladas de mercancías que se mueven cada año en el mundo, 2,000 corresponden a crudo y productos del petróleo, lo que denota lo vital que resulta para la economía moderna, pero que a la vez ha causado serias consecuencias a los océanos a lo largo de la historia</w:t>
      </w:r>
      <w:r w:rsidRPr="00816BCE">
        <w:rPr>
          <w:rStyle w:val="Refdenotaalpie"/>
          <w:rFonts w:ascii="Arial" w:hAnsi="Arial" w:cs="Arial"/>
          <w:sz w:val="22"/>
          <w:szCs w:val="22"/>
        </w:rPr>
        <w:footnoteReference w:id="19"/>
      </w:r>
      <w:r w:rsidRPr="00816BCE">
        <w:rPr>
          <w:rFonts w:ascii="Arial" w:hAnsi="Arial" w:cs="Arial"/>
          <w:sz w:val="22"/>
          <w:szCs w:val="22"/>
        </w:rPr>
        <w:t>. A modo de ejemplo basta decir que en el año 2002, este tipo de transporte representaba casi el 40% del total de todas las cargas transportadas por mar. Es así como hoy en día el consumo de hidrocarburos, ha experimentado un fuerte incremento en países como China e India, lo que representa la gran dependencia que estos tienen tanto del petróleo como de sus productos derivados, y que explica claramente el porqué de su importancia en el conjunto del transporte marítimo.</w:t>
      </w:r>
    </w:p>
    <w:p w:rsidR="00197AA0" w:rsidRPr="00816BCE" w:rsidRDefault="00197AA0" w:rsidP="00232C32">
      <w:pPr>
        <w:spacing w:before="100" w:beforeAutospacing="1" w:after="100" w:afterAutospacing="1" w:line="360" w:lineRule="auto"/>
        <w:ind w:right="44" w:firstLine="567"/>
        <w:jc w:val="both"/>
        <w:rPr>
          <w:rFonts w:ascii="Arial" w:hAnsi="Arial" w:cs="Arial"/>
          <w:sz w:val="22"/>
          <w:szCs w:val="22"/>
        </w:rPr>
      </w:pPr>
      <w:r w:rsidRPr="00816BCE">
        <w:rPr>
          <w:rFonts w:ascii="Arial" w:hAnsi="Arial" w:cs="Arial"/>
          <w:sz w:val="22"/>
          <w:szCs w:val="22"/>
        </w:rPr>
        <w:t>No obstante es oportuno mencionar que dentro del presente capítulo, debido a los datos estadísticos anteriormente planteados, resulta fundamental describir los accidentes más emblemáticos que han conmocionado a la comunidad internacional  a lo largo de la historia desde los años de 1950 hasta 2010, ya que con la descripción de estas tragedias se pretende plantear la evolución que ha venido teniendo a lo largo del tiempo la regulación marítima internacional para enfrentar y prevenir este tipo de accidentes que hasta el día de hoy se hacen presente, como lo fue el caso más actual del Buque Shen Neng 1 que se describirá con mucha más profundidad en el desarrollo del presente capítulo. Ante este breve esbozo se pretende demostrar y plantear junto con la descripción de los accidentes; como ha reaccionado la legislación marítima ante estos casos más emblemáticos, y si esta misma ha logrado crear nuevos mecanismos para reducir la contaminación por hidrocarburos, en donde a través de la descripción histórica de los buques se denotará  tanto la fragilidad que ha presentado la regulación marítima ante los accidentes desde un inicio, así como también la paulatina evolución que ha venido presentando conforme a los acontecimientos.</w:t>
      </w:r>
    </w:p>
    <w:p w:rsidR="00197AA0" w:rsidRPr="00816BCE" w:rsidRDefault="00197AA0" w:rsidP="00232C32">
      <w:pPr>
        <w:spacing w:before="100" w:beforeAutospacing="1" w:after="100" w:afterAutospacing="1" w:line="360" w:lineRule="auto"/>
        <w:ind w:right="44" w:firstLine="567"/>
        <w:jc w:val="both"/>
        <w:rPr>
          <w:rFonts w:ascii="Arial" w:hAnsi="Arial" w:cs="Arial"/>
          <w:sz w:val="22"/>
          <w:szCs w:val="22"/>
        </w:rPr>
      </w:pPr>
    </w:p>
    <w:p w:rsidR="00197AA0" w:rsidRPr="00816BCE" w:rsidRDefault="001D7573" w:rsidP="00232C32">
      <w:pPr>
        <w:spacing w:before="100" w:beforeAutospacing="1" w:after="100" w:afterAutospacing="1" w:line="360" w:lineRule="auto"/>
        <w:ind w:right="44" w:firstLine="567"/>
        <w:jc w:val="both"/>
        <w:rPr>
          <w:rFonts w:ascii="Arial" w:hAnsi="Arial" w:cs="Arial"/>
          <w:sz w:val="22"/>
          <w:szCs w:val="22"/>
        </w:rPr>
      </w:pPr>
      <w:r>
        <w:rPr>
          <w:rFonts w:ascii="Arial" w:hAnsi="Arial" w:cs="Arial"/>
          <w:noProof/>
          <w:sz w:val="22"/>
          <w:szCs w:val="22"/>
        </w:rPr>
        <w:pict>
          <v:shape id="_x0000_s1044" type="#_x0000_t202" style="position:absolute;left:0;text-align:left;margin-left:208pt;margin-top:90.4pt;width:31.8pt;height:21pt;z-index:251673600;mso-height-percent:200;mso-height-percent:200;mso-width-relative:margin;mso-height-relative:margin" fillcolor="white [3212]" stroked="f">
            <v:textbox style="mso-next-textbox:#_x0000_s1044;mso-fit-shape-to-text:t">
              <w:txbxContent>
                <w:p w:rsidR="00AC7D7B" w:rsidRDefault="00AC7D7B" w:rsidP="00D230BE">
                  <w:r>
                    <w:t>1</w:t>
                  </w:r>
                </w:p>
              </w:txbxContent>
            </v:textbox>
          </v:shape>
        </w:pict>
      </w:r>
    </w:p>
    <w:p w:rsidR="00197AA0" w:rsidRPr="00816BCE" w:rsidRDefault="00197AA0" w:rsidP="00232C32">
      <w:pPr>
        <w:numPr>
          <w:ilvl w:val="1"/>
          <w:numId w:val="1"/>
        </w:numPr>
        <w:spacing w:after="200" w:line="276" w:lineRule="auto"/>
        <w:ind w:right="44"/>
        <w:rPr>
          <w:rFonts w:ascii="Arial" w:hAnsi="Arial" w:cs="Arial"/>
          <w:b/>
          <w:sz w:val="22"/>
          <w:szCs w:val="22"/>
          <w:lang w:eastAsia="en-US"/>
        </w:rPr>
      </w:pPr>
      <w:r w:rsidRPr="00816BCE">
        <w:rPr>
          <w:rFonts w:ascii="Arial" w:hAnsi="Arial" w:cs="Arial"/>
          <w:b/>
          <w:sz w:val="22"/>
          <w:szCs w:val="22"/>
        </w:rPr>
        <w:lastRenderedPageBreak/>
        <w:t>Los grandes accidentes por hidrocarburos</w:t>
      </w:r>
    </w:p>
    <w:p w:rsidR="00197AA0" w:rsidRPr="00816BCE" w:rsidRDefault="00197AA0" w:rsidP="00232C32">
      <w:pPr>
        <w:ind w:left="360" w:right="44"/>
        <w:rPr>
          <w:rFonts w:ascii="Arial" w:hAnsi="Arial" w:cs="Arial"/>
          <w:b/>
          <w:sz w:val="22"/>
          <w:szCs w:val="22"/>
        </w:rPr>
      </w:pPr>
    </w:p>
    <w:p w:rsidR="00197AA0" w:rsidRPr="00816BCE" w:rsidRDefault="00197AA0" w:rsidP="00232C32">
      <w:pPr>
        <w:spacing w:line="360" w:lineRule="auto"/>
        <w:ind w:right="44" w:firstLine="567"/>
        <w:jc w:val="both"/>
        <w:rPr>
          <w:rFonts w:ascii="Arial" w:hAnsi="Arial" w:cs="Arial"/>
          <w:sz w:val="22"/>
          <w:szCs w:val="22"/>
          <w:lang w:val="es-SV"/>
        </w:rPr>
      </w:pPr>
      <w:r w:rsidRPr="00816BCE">
        <w:rPr>
          <w:rFonts w:ascii="Arial" w:hAnsi="Arial" w:cs="Arial"/>
          <w:sz w:val="22"/>
          <w:szCs w:val="22"/>
          <w:lang w:val="es-SV"/>
        </w:rPr>
        <w:t>Es necesario realizar una exhaustiva descripción de los casos más emblemáticos de contaminación por hidrocarburos, tales como el famoso e histórico caso del buque Torrey Canyon, Exxon Valdez, Erika, Prestige y finalmente el caso más reciente el Buque Shen Neng 1.</w:t>
      </w:r>
    </w:p>
    <w:p w:rsidR="00197AA0" w:rsidRPr="00816BCE" w:rsidRDefault="00197AA0" w:rsidP="00232C32">
      <w:pPr>
        <w:spacing w:line="360" w:lineRule="auto"/>
        <w:ind w:right="44" w:firstLine="567"/>
        <w:jc w:val="both"/>
        <w:rPr>
          <w:rFonts w:ascii="Arial" w:hAnsi="Arial" w:cs="Arial"/>
          <w:sz w:val="22"/>
          <w:szCs w:val="22"/>
          <w:lang w:val="es-SV"/>
        </w:rPr>
      </w:pPr>
      <w:r w:rsidRPr="00816BCE">
        <w:rPr>
          <w:rFonts w:ascii="Arial" w:hAnsi="Arial" w:cs="Arial"/>
          <w:sz w:val="22"/>
          <w:szCs w:val="22"/>
          <w:lang w:val="es-SV"/>
        </w:rPr>
        <w:t xml:space="preserve"> Así mismo será importante no sólo realizar una descripción del suceso en los cuales se detalle de manera clara como fue el accidente de contaminación por hidrocarburos, cuáles fueron sus causas y consecuencias; sino también los hechos posteriores al accidente, es decir el marco legal regulatorio que se creó ante estos, tales como convenios, tratados internacionales que se aplicaron o a los que se sometieron estos casos. </w:t>
      </w:r>
    </w:p>
    <w:p w:rsidR="00197AA0" w:rsidRPr="00816BCE" w:rsidRDefault="00197AA0" w:rsidP="00232C32">
      <w:pPr>
        <w:spacing w:line="360" w:lineRule="auto"/>
        <w:ind w:right="44" w:firstLine="567"/>
        <w:jc w:val="both"/>
        <w:rPr>
          <w:rFonts w:ascii="Arial" w:hAnsi="Arial" w:cs="Arial"/>
          <w:sz w:val="22"/>
          <w:szCs w:val="22"/>
          <w:lang w:val="es-SV"/>
        </w:rPr>
      </w:pPr>
      <w:r w:rsidRPr="00816BCE">
        <w:rPr>
          <w:rFonts w:ascii="Arial" w:hAnsi="Arial" w:cs="Arial"/>
          <w:sz w:val="22"/>
          <w:szCs w:val="22"/>
          <w:lang w:val="es-SV"/>
        </w:rPr>
        <w:t>En este mismo marco cabe destacar que existen diversas características y diversas medidas de los buques tanques, ya que la mayoría de los buques petroleros del mundo pesan entre 70,000 y 500,000 toneladas de peso muerto (TPM)</w:t>
      </w:r>
      <w:r w:rsidRPr="00816BCE">
        <w:rPr>
          <w:rStyle w:val="Refdenotaalpie"/>
          <w:rFonts w:ascii="Arial" w:hAnsi="Arial" w:cs="Arial"/>
          <w:sz w:val="22"/>
          <w:szCs w:val="22"/>
          <w:lang w:val="es-SV"/>
        </w:rPr>
        <w:footnoteReference w:id="20"/>
      </w:r>
      <w:r w:rsidRPr="00816BCE">
        <w:rPr>
          <w:rFonts w:ascii="Arial" w:hAnsi="Arial" w:cs="Arial"/>
          <w:sz w:val="22"/>
          <w:szCs w:val="22"/>
          <w:lang w:val="es-SV"/>
        </w:rPr>
        <w:t>. Es así  que dentro de este rango, se encuentran los cuatro tamaños más populares como lo es un buque Panamax</w:t>
      </w:r>
      <w:r w:rsidRPr="00816BCE">
        <w:rPr>
          <w:rStyle w:val="Refdenotaalpie"/>
          <w:rFonts w:ascii="Arial" w:hAnsi="Arial" w:cs="Arial"/>
          <w:sz w:val="22"/>
          <w:szCs w:val="22"/>
          <w:lang w:val="es-SV"/>
        </w:rPr>
        <w:footnoteReference w:customMarkFollows="1" w:id="21"/>
        <w:sym w:font="Symbol" w:char="F02A"/>
      </w:r>
      <w:r w:rsidRPr="00816BCE">
        <w:rPr>
          <w:rFonts w:ascii="Arial" w:hAnsi="Arial" w:cs="Arial"/>
          <w:sz w:val="22"/>
          <w:szCs w:val="22"/>
          <w:lang w:val="es-SV"/>
        </w:rPr>
        <w:t>, Aframax</w:t>
      </w:r>
      <w:r w:rsidRPr="00816BCE">
        <w:rPr>
          <w:rStyle w:val="Refdenotaalpie"/>
          <w:rFonts w:ascii="Arial" w:hAnsi="Arial" w:cs="Arial"/>
          <w:sz w:val="22"/>
          <w:szCs w:val="22"/>
          <w:lang w:val="es-SV"/>
        </w:rPr>
        <w:footnoteReference w:customMarkFollows="1" w:id="22"/>
        <w:sym w:font="Symbol" w:char="F02A"/>
      </w:r>
      <w:r w:rsidRPr="00816BCE">
        <w:rPr>
          <w:rStyle w:val="Refdenotaalpie"/>
          <w:rFonts w:ascii="Arial" w:hAnsi="Arial" w:cs="Arial"/>
          <w:sz w:val="22"/>
          <w:szCs w:val="22"/>
          <w:lang w:val="es-SV"/>
        </w:rPr>
        <w:sym w:font="Symbol" w:char="F02A"/>
      </w:r>
      <w:r w:rsidRPr="00816BCE">
        <w:rPr>
          <w:rFonts w:ascii="Arial" w:hAnsi="Arial" w:cs="Arial"/>
          <w:sz w:val="22"/>
          <w:szCs w:val="22"/>
          <w:lang w:val="es-SV"/>
        </w:rPr>
        <w:t>, Suezmax</w:t>
      </w:r>
      <w:r w:rsidRPr="00816BCE">
        <w:rPr>
          <w:rStyle w:val="Refdenotaalpie"/>
          <w:rFonts w:ascii="Arial" w:hAnsi="Arial" w:cs="Arial"/>
          <w:sz w:val="22"/>
          <w:szCs w:val="22"/>
          <w:lang w:val="es-SV"/>
        </w:rPr>
        <w:footnoteReference w:customMarkFollows="1" w:id="23"/>
        <w:sym w:font="Symbol" w:char="F02A"/>
      </w:r>
      <w:r w:rsidRPr="00816BCE">
        <w:rPr>
          <w:rStyle w:val="Refdenotaalpie"/>
          <w:rFonts w:ascii="Arial" w:hAnsi="Arial" w:cs="Arial"/>
          <w:sz w:val="22"/>
          <w:szCs w:val="22"/>
          <w:lang w:val="es-SV"/>
        </w:rPr>
        <w:sym w:font="Symbol" w:char="F02A"/>
      </w:r>
      <w:r w:rsidRPr="00816BCE">
        <w:rPr>
          <w:rStyle w:val="Refdenotaalpie"/>
          <w:rFonts w:ascii="Arial" w:hAnsi="Arial" w:cs="Arial"/>
          <w:sz w:val="22"/>
          <w:szCs w:val="22"/>
          <w:lang w:val="es-SV"/>
        </w:rPr>
        <w:sym w:font="Symbol" w:char="F02A"/>
      </w:r>
      <w:r w:rsidRPr="00816BCE">
        <w:rPr>
          <w:rFonts w:ascii="Arial" w:hAnsi="Arial" w:cs="Arial"/>
          <w:sz w:val="22"/>
          <w:szCs w:val="22"/>
          <w:lang w:val="es-SV"/>
        </w:rPr>
        <w:t>, Very Large Crude Carrier, Ultra Large Crude Carrier.</w:t>
      </w:r>
    </w:p>
    <w:p w:rsidR="00197AA0" w:rsidRDefault="00197AA0" w:rsidP="00232C32">
      <w:pPr>
        <w:spacing w:line="360" w:lineRule="auto"/>
        <w:ind w:right="44" w:firstLine="567"/>
        <w:jc w:val="both"/>
        <w:rPr>
          <w:rFonts w:ascii="Arial" w:hAnsi="Arial" w:cs="Arial"/>
          <w:sz w:val="22"/>
          <w:szCs w:val="22"/>
          <w:lang w:val="es-SV"/>
        </w:rPr>
      </w:pPr>
    </w:p>
    <w:p w:rsidR="00197AA0" w:rsidRDefault="001D7573" w:rsidP="00232C32">
      <w:pPr>
        <w:spacing w:line="360" w:lineRule="auto"/>
        <w:ind w:right="44" w:firstLine="567"/>
        <w:jc w:val="both"/>
        <w:rPr>
          <w:rFonts w:ascii="Arial" w:hAnsi="Arial" w:cs="Arial"/>
          <w:sz w:val="22"/>
          <w:szCs w:val="22"/>
          <w:lang w:val="es-SV"/>
        </w:rPr>
      </w:pPr>
      <w:r>
        <w:rPr>
          <w:rFonts w:ascii="Arial" w:hAnsi="Arial" w:cs="Arial"/>
          <w:noProof/>
          <w:sz w:val="22"/>
          <w:szCs w:val="22"/>
        </w:rPr>
        <w:pict>
          <v:shape id="_x0000_s1045" type="#_x0000_t202" style="position:absolute;left:0;text-align:left;margin-left:189.45pt;margin-top:314.7pt;width:31.8pt;height:21pt;z-index:251674624;mso-height-percent:200;mso-height-percent:200;mso-width-relative:margin;mso-height-relative:margin" fillcolor="white [3212]" stroked="f">
            <v:textbox style="mso-next-textbox:#_x0000_s1045;mso-fit-shape-to-text:t">
              <w:txbxContent>
                <w:p w:rsidR="00AC7D7B" w:rsidRDefault="00AC7D7B" w:rsidP="00D230BE">
                  <w:r>
                    <w:t>2</w:t>
                  </w:r>
                </w:p>
              </w:txbxContent>
            </v:textbox>
          </v:shape>
        </w:pict>
      </w:r>
    </w:p>
    <w:p w:rsidR="00197AA0" w:rsidRPr="00816BCE" w:rsidRDefault="00197AA0" w:rsidP="00232C32">
      <w:pPr>
        <w:numPr>
          <w:ilvl w:val="2"/>
          <w:numId w:val="1"/>
        </w:numPr>
        <w:spacing w:after="200" w:line="276" w:lineRule="auto"/>
        <w:ind w:right="44"/>
        <w:rPr>
          <w:rFonts w:ascii="Arial" w:hAnsi="Arial" w:cs="Arial"/>
          <w:b/>
          <w:sz w:val="22"/>
          <w:szCs w:val="22"/>
        </w:rPr>
      </w:pPr>
      <w:r w:rsidRPr="00816BCE">
        <w:rPr>
          <w:rFonts w:ascii="Arial" w:hAnsi="Arial" w:cs="Arial"/>
          <w:b/>
          <w:sz w:val="22"/>
          <w:szCs w:val="22"/>
        </w:rPr>
        <w:t>Buque Torrey Canyon</w:t>
      </w:r>
    </w:p>
    <w:p w:rsidR="00197AA0" w:rsidRPr="00816BCE" w:rsidRDefault="00197AA0" w:rsidP="00232C32">
      <w:pPr>
        <w:ind w:left="720" w:right="44"/>
        <w:rPr>
          <w:rFonts w:ascii="Arial" w:hAnsi="Arial" w:cs="Arial"/>
          <w:b/>
          <w:sz w:val="22"/>
          <w:szCs w:val="22"/>
        </w:rPr>
      </w:pPr>
    </w:p>
    <w:p w:rsidR="00197AA0" w:rsidRDefault="00197AA0" w:rsidP="00AD099B">
      <w:pPr>
        <w:spacing w:line="360" w:lineRule="auto"/>
        <w:ind w:right="44" w:firstLine="567"/>
        <w:jc w:val="both"/>
        <w:rPr>
          <w:rStyle w:val="longtext"/>
          <w:rFonts w:ascii="Arial" w:hAnsi="Arial" w:cs="Arial"/>
          <w:sz w:val="22"/>
          <w:szCs w:val="22"/>
        </w:rPr>
      </w:pPr>
      <w:r w:rsidRPr="00816BCE">
        <w:rPr>
          <w:rFonts w:ascii="Arial" w:hAnsi="Arial" w:cs="Arial"/>
          <w:sz w:val="22"/>
          <w:szCs w:val="22"/>
        </w:rPr>
        <w:t xml:space="preserve">Fue un buque que viajaba el 18 de marzo de 1967, a 17 nudos de velocidad, cuando golpeó contra los arrecifes de Seven Stones </w:t>
      </w:r>
      <w:r w:rsidRPr="00816BCE">
        <w:rPr>
          <w:rFonts w:ascii="Arial" w:hAnsi="Arial" w:cs="Arial"/>
          <w:color w:val="000000"/>
          <w:sz w:val="22"/>
          <w:szCs w:val="22"/>
        </w:rPr>
        <w:t xml:space="preserve">en el archipiélago de las Islas Sorlingas también conocidas como Scilly, al Suroeste de Cornwall (Inglaterra), el violento impacto rasgó y abrió seis de sus tanques, es debido a este gran choque que se </w:t>
      </w:r>
      <w:r w:rsidRPr="00816BCE">
        <w:rPr>
          <w:rFonts w:ascii="Arial" w:hAnsi="Arial" w:cs="Arial"/>
          <w:sz w:val="22"/>
          <w:szCs w:val="22"/>
        </w:rPr>
        <w:t xml:space="preserve">vertieron un aproximado de 860,000 barriles que son unas 120,000 toneladas de crudo, provocando por lo tanto uno de los mayores desastres ecológicos de toda la historia. </w:t>
      </w:r>
      <w:r w:rsidRPr="00816BCE">
        <w:rPr>
          <w:rStyle w:val="longtext"/>
          <w:rFonts w:ascii="Arial" w:hAnsi="Arial" w:cs="Arial"/>
          <w:sz w:val="22"/>
          <w:szCs w:val="22"/>
        </w:rPr>
        <w:t>Era propiedad de la Barrucada Tanker Corporation, una compañía Liberiana registrada en Bermudas y una filial de la Union Oil Company de California. Había cargado el aceite en Mina Al Ahmadi, Kuwait, en el Golfo Pérsico y su destino era Milford Haven en Gales, Gran Bretaña. En su último viaje, Torrey Canyon llevaba un cargamento de 120,000 toneladas de crudo kuwaití en virtud de un fletamento por viaje único para British Petroleum</w:t>
      </w:r>
      <w:r w:rsidRPr="00816BCE">
        <w:rPr>
          <w:rStyle w:val="Refdenotaalpie"/>
          <w:rFonts w:ascii="Arial" w:hAnsi="Arial" w:cs="Arial"/>
          <w:sz w:val="22"/>
          <w:szCs w:val="22"/>
        </w:rPr>
        <w:footnoteReference w:id="24"/>
      </w:r>
      <w:r w:rsidRPr="00816BCE">
        <w:rPr>
          <w:rStyle w:val="longtext"/>
          <w:rFonts w:ascii="Arial" w:hAnsi="Arial" w:cs="Arial"/>
          <w:sz w:val="22"/>
          <w:szCs w:val="22"/>
        </w:rPr>
        <w:t>.</w:t>
      </w:r>
    </w:p>
    <w:p w:rsidR="00197AA0" w:rsidRDefault="00197AA0" w:rsidP="00AD099B">
      <w:pPr>
        <w:spacing w:line="360" w:lineRule="auto"/>
        <w:ind w:right="44" w:firstLine="567"/>
        <w:jc w:val="both"/>
        <w:rPr>
          <w:rFonts w:ascii="Arial" w:hAnsi="Arial" w:cs="Arial"/>
          <w:bCs/>
          <w:sz w:val="22"/>
          <w:szCs w:val="22"/>
          <w:lang w:val="es-CL"/>
        </w:rPr>
      </w:pPr>
      <w:r w:rsidRPr="00816BCE">
        <w:rPr>
          <w:rStyle w:val="longtext"/>
          <w:rFonts w:ascii="Arial" w:hAnsi="Arial" w:cs="Arial"/>
          <w:sz w:val="22"/>
          <w:szCs w:val="22"/>
        </w:rPr>
        <w:t>Esta gran tragedia representó un grave daño de contaminación</w:t>
      </w:r>
      <w:r w:rsidRPr="00816BCE">
        <w:rPr>
          <w:rStyle w:val="Refdenotaalpie"/>
          <w:rFonts w:ascii="Arial" w:hAnsi="Arial" w:cs="Arial"/>
          <w:sz w:val="22"/>
          <w:szCs w:val="22"/>
        </w:rPr>
        <w:footnoteReference w:customMarkFollows="1" w:id="25"/>
        <w:sym w:font="Symbol" w:char="F02A"/>
      </w:r>
      <w:r w:rsidRPr="00816BCE">
        <w:rPr>
          <w:rStyle w:val="longtext"/>
          <w:rFonts w:ascii="Arial" w:hAnsi="Arial" w:cs="Arial"/>
          <w:sz w:val="22"/>
          <w:szCs w:val="22"/>
        </w:rPr>
        <w:t xml:space="preserve"> para el medio ambiente, y es así como se generó una conmoción internacional y se buscó luego, fortalecer la regulación marítima internacional, creándose de esta manera el Convenio sobre Responsabilidad Civil de 1969 y también el C</w:t>
      </w:r>
      <w:r w:rsidRPr="00816BCE">
        <w:rPr>
          <w:rFonts w:ascii="Arial" w:hAnsi="Arial" w:cs="Arial"/>
          <w:bCs/>
          <w:sz w:val="22"/>
          <w:szCs w:val="22"/>
          <w:lang w:val="es-CL"/>
        </w:rPr>
        <w:t>onvenio Internacional sobre la constitución de un fondo internacional de indemnización de daños causados por la contaminación de hidrocarburos, Convenio FONDO 1971</w:t>
      </w:r>
      <w:r w:rsidRPr="00816BCE">
        <w:rPr>
          <w:rFonts w:ascii="Arial" w:hAnsi="Arial" w:cs="Arial"/>
          <w:b/>
          <w:bCs/>
          <w:sz w:val="22"/>
          <w:szCs w:val="22"/>
          <w:lang w:val="es-CL"/>
        </w:rPr>
        <w:t xml:space="preserve">. </w:t>
      </w:r>
      <w:r w:rsidRPr="00816BCE">
        <w:rPr>
          <w:rFonts w:ascii="Arial" w:hAnsi="Arial" w:cs="Arial"/>
          <w:bCs/>
          <w:sz w:val="22"/>
          <w:szCs w:val="22"/>
          <w:lang w:val="es-CL"/>
        </w:rPr>
        <w:t xml:space="preserve">Estos dos convenios mencionados, así como otras características del Buque Torrey Canyon, serán explicados a mayor profundidad en el desarrollo del presente contenido. </w:t>
      </w:r>
    </w:p>
    <w:p w:rsidR="00197AA0" w:rsidRDefault="001D7573" w:rsidP="00232C32">
      <w:pPr>
        <w:spacing w:line="360" w:lineRule="auto"/>
        <w:ind w:right="44" w:firstLine="567"/>
        <w:jc w:val="both"/>
        <w:rPr>
          <w:rStyle w:val="longtext"/>
          <w:rFonts w:ascii="Arial" w:hAnsi="Arial" w:cs="Arial"/>
          <w:sz w:val="22"/>
          <w:szCs w:val="22"/>
        </w:rPr>
      </w:pPr>
      <w:r>
        <w:rPr>
          <w:rFonts w:ascii="Arial" w:hAnsi="Arial" w:cs="Arial"/>
          <w:noProof/>
          <w:sz w:val="22"/>
          <w:szCs w:val="22"/>
        </w:rPr>
        <w:pict>
          <v:shape id="_x0000_s1050" type="#_x0000_t202" style="position:absolute;left:0;text-align:left;margin-left:215.15pt;margin-top:258.9pt;width:31.8pt;height:21pt;z-index:251676672;mso-height-percent:200;mso-height-percent:200;mso-width-relative:margin;mso-height-relative:margin" fillcolor="white [3212]" stroked="f">
            <v:textbox style="mso-next-textbox:#_x0000_s1050;mso-fit-shape-to-text:t">
              <w:txbxContent>
                <w:p w:rsidR="00AC7D7B" w:rsidRDefault="00AC7D7B" w:rsidP="00E825BB">
                  <w:r>
                    <w:t>3</w:t>
                  </w:r>
                </w:p>
              </w:txbxContent>
            </v:textbox>
          </v:shape>
        </w:pict>
      </w:r>
      <w:r w:rsidR="00197AA0" w:rsidRPr="00816BCE">
        <w:rPr>
          <w:rFonts w:ascii="Arial" w:hAnsi="Arial" w:cs="Arial"/>
          <w:bCs/>
          <w:sz w:val="22"/>
          <w:szCs w:val="22"/>
          <w:lang w:val="es-CL"/>
        </w:rPr>
        <w:t xml:space="preserve">De una manera más detallada se puede afirmar que el buque </w:t>
      </w:r>
      <w:r w:rsidR="00197AA0" w:rsidRPr="00816BCE">
        <w:rPr>
          <w:rStyle w:val="longtext"/>
          <w:rFonts w:ascii="Arial" w:hAnsi="Arial" w:cs="Arial"/>
          <w:sz w:val="22"/>
          <w:szCs w:val="22"/>
        </w:rPr>
        <w:t>Torrey Canyon era un barco magnífico, impresionante en tamaño y capacidad. Sus 974 pies de largo lo hacían sólo 57 pies más corto que el buque Queen Elizabeth</w:t>
      </w:r>
      <w:r w:rsidR="00197AA0" w:rsidRPr="00816BCE">
        <w:rPr>
          <w:rStyle w:val="Refdenotaalpie"/>
          <w:rFonts w:ascii="Arial" w:hAnsi="Arial" w:cs="Arial"/>
          <w:sz w:val="22"/>
          <w:szCs w:val="22"/>
        </w:rPr>
        <w:footnoteReference w:customMarkFollows="1" w:id="26"/>
        <w:sym w:font="Symbol" w:char="F02A"/>
      </w:r>
      <w:r w:rsidR="00197AA0" w:rsidRPr="00816BCE">
        <w:rPr>
          <w:rStyle w:val="Refdenotaalpie"/>
          <w:rFonts w:ascii="Arial" w:hAnsi="Arial" w:cs="Arial"/>
          <w:sz w:val="22"/>
          <w:szCs w:val="22"/>
        </w:rPr>
        <w:sym w:font="Symbol" w:char="F02A"/>
      </w:r>
      <w:r w:rsidR="00197AA0" w:rsidRPr="00816BCE">
        <w:rPr>
          <w:rStyle w:val="longtext"/>
          <w:rFonts w:ascii="Arial" w:hAnsi="Arial" w:cs="Arial"/>
          <w:sz w:val="22"/>
          <w:szCs w:val="22"/>
        </w:rPr>
        <w:t>. Su anchura de 125 metros lo hacía  tan amplio como una autopista de 10 carriles. En el siguiente cuadro se muestra de manera más detallada  algunos datos técnicos del Torrey Canyon, para poder formarse una idea más completa de cuáles eran las características de este, que fue un gran buque en sus tiempos:</w:t>
      </w:r>
    </w:p>
    <w:p w:rsidR="00197AA0" w:rsidRPr="00816BCE" w:rsidRDefault="00197AA0" w:rsidP="00232C32">
      <w:pPr>
        <w:spacing w:line="360" w:lineRule="auto"/>
        <w:ind w:right="44" w:firstLine="567"/>
        <w:jc w:val="both"/>
        <w:rPr>
          <w:rStyle w:val="longtext"/>
          <w:sz w:val="22"/>
          <w:szCs w:val="22"/>
        </w:rPr>
      </w:pPr>
    </w:p>
    <w:p w:rsidR="00197AA0" w:rsidRDefault="00197AA0" w:rsidP="00232C32">
      <w:pPr>
        <w:spacing w:line="360" w:lineRule="auto"/>
        <w:ind w:right="44"/>
        <w:jc w:val="both"/>
        <w:rPr>
          <w:rStyle w:val="longtext"/>
          <w:rFonts w:ascii="Arial" w:hAnsi="Arial" w:cs="Arial"/>
          <w:b/>
        </w:rPr>
      </w:pPr>
      <w:r w:rsidRPr="00816BCE">
        <w:rPr>
          <w:rStyle w:val="longtext"/>
          <w:rFonts w:ascii="Arial" w:hAnsi="Arial" w:cs="Arial"/>
          <w:b/>
          <w:sz w:val="22"/>
          <w:szCs w:val="22"/>
        </w:rPr>
        <w:t>Tabla 1.1 Buque Torrey Canyon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60"/>
        <w:gridCol w:w="2161"/>
        <w:gridCol w:w="2703"/>
        <w:gridCol w:w="1696"/>
      </w:tblGrid>
      <w:tr w:rsidR="00197AA0" w:rsidTr="00232C32">
        <w:trPr>
          <w:trHeight w:val="524"/>
        </w:trPr>
        <w:tc>
          <w:tcPr>
            <w:tcW w:w="8720" w:type="dxa"/>
            <w:gridSpan w:val="4"/>
          </w:tcPr>
          <w:p w:rsidR="00197AA0" w:rsidRDefault="00197AA0">
            <w:pPr>
              <w:spacing w:after="200" w:line="360" w:lineRule="auto"/>
              <w:ind w:right="44"/>
              <w:jc w:val="center"/>
              <w:rPr>
                <w:rStyle w:val="longtext"/>
                <w:rFonts w:ascii="Arial" w:hAnsi="Arial" w:cs="Arial"/>
                <w:b/>
                <w:sz w:val="18"/>
                <w:szCs w:val="18"/>
                <w:lang w:eastAsia="en-US"/>
              </w:rPr>
            </w:pPr>
            <w:r>
              <w:rPr>
                <w:rStyle w:val="longtext"/>
                <w:rFonts w:ascii="Arial" w:hAnsi="Arial" w:cs="Arial"/>
                <w:b/>
                <w:sz w:val="18"/>
                <w:szCs w:val="18"/>
              </w:rPr>
              <w:t>Buque Torrey Canyon</w:t>
            </w:r>
          </w:p>
        </w:tc>
      </w:tr>
      <w:tr w:rsidR="00197AA0" w:rsidTr="00232C32">
        <w:trPr>
          <w:trHeight w:val="190"/>
        </w:trPr>
        <w:tc>
          <w:tcPr>
            <w:tcW w:w="2160" w:type="dxa"/>
          </w:tcPr>
          <w:p w:rsidR="00197AA0" w:rsidRDefault="00197AA0">
            <w:pPr>
              <w:spacing w:after="200" w:line="360" w:lineRule="auto"/>
              <w:ind w:right="44"/>
              <w:jc w:val="center"/>
              <w:rPr>
                <w:rStyle w:val="longtext"/>
                <w:rFonts w:ascii="Arial" w:hAnsi="Arial" w:cs="Arial"/>
                <w:b/>
                <w:sz w:val="18"/>
                <w:szCs w:val="18"/>
                <w:lang w:eastAsia="en-US"/>
              </w:rPr>
            </w:pPr>
            <w:r>
              <w:rPr>
                <w:rStyle w:val="longtext"/>
                <w:rFonts w:ascii="Arial" w:hAnsi="Arial" w:cs="Arial"/>
                <w:b/>
                <w:sz w:val="18"/>
                <w:szCs w:val="18"/>
              </w:rPr>
              <w:t>Construcción</w:t>
            </w:r>
          </w:p>
        </w:tc>
        <w:tc>
          <w:tcPr>
            <w:tcW w:w="2161" w:type="dxa"/>
          </w:tcPr>
          <w:p w:rsidR="00197AA0" w:rsidRDefault="00197AA0">
            <w:pPr>
              <w:spacing w:after="200" w:line="360" w:lineRule="auto"/>
              <w:ind w:right="44"/>
              <w:jc w:val="center"/>
              <w:rPr>
                <w:rStyle w:val="longtext"/>
                <w:rFonts w:ascii="Arial" w:hAnsi="Arial" w:cs="Arial"/>
                <w:b/>
                <w:sz w:val="18"/>
                <w:szCs w:val="18"/>
                <w:lang w:eastAsia="en-US"/>
              </w:rPr>
            </w:pPr>
            <w:r>
              <w:rPr>
                <w:rStyle w:val="longtext"/>
                <w:rFonts w:ascii="Arial" w:hAnsi="Arial" w:cs="Arial"/>
                <w:b/>
                <w:sz w:val="18"/>
                <w:szCs w:val="18"/>
              </w:rPr>
              <w:t>Giro de Cruce</w:t>
            </w:r>
          </w:p>
        </w:tc>
        <w:tc>
          <w:tcPr>
            <w:tcW w:w="2703" w:type="dxa"/>
          </w:tcPr>
          <w:p w:rsidR="00197AA0" w:rsidRDefault="00197AA0">
            <w:pPr>
              <w:spacing w:after="200" w:line="360" w:lineRule="auto"/>
              <w:ind w:right="44"/>
              <w:jc w:val="center"/>
              <w:rPr>
                <w:rStyle w:val="longtext"/>
                <w:rFonts w:ascii="Arial" w:hAnsi="Arial" w:cs="Arial"/>
                <w:b/>
                <w:sz w:val="18"/>
                <w:szCs w:val="18"/>
                <w:lang w:eastAsia="en-US"/>
              </w:rPr>
            </w:pPr>
            <w:r>
              <w:rPr>
                <w:rStyle w:val="longtext"/>
                <w:rFonts w:ascii="Arial" w:hAnsi="Arial" w:cs="Arial"/>
                <w:b/>
                <w:sz w:val="18"/>
                <w:szCs w:val="18"/>
              </w:rPr>
              <w:t>Capacidad</w:t>
            </w:r>
          </w:p>
        </w:tc>
        <w:tc>
          <w:tcPr>
            <w:tcW w:w="1696" w:type="dxa"/>
          </w:tcPr>
          <w:p w:rsidR="00197AA0" w:rsidRDefault="00197AA0">
            <w:pPr>
              <w:spacing w:after="200" w:line="360" w:lineRule="auto"/>
              <w:ind w:right="44"/>
              <w:jc w:val="center"/>
              <w:rPr>
                <w:rStyle w:val="longtext"/>
                <w:rFonts w:ascii="Arial" w:hAnsi="Arial" w:cs="Arial"/>
                <w:b/>
                <w:sz w:val="18"/>
                <w:szCs w:val="18"/>
                <w:lang w:eastAsia="en-US"/>
              </w:rPr>
            </w:pPr>
            <w:r>
              <w:rPr>
                <w:rStyle w:val="longtext"/>
                <w:rFonts w:ascii="Arial" w:hAnsi="Arial" w:cs="Arial"/>
                <w:b/>
                <w:sz w:val="18"/>
                <w:szCs w:val="18"/>
              </w:rPr>
              <w:t>Motor</w:t>
            </w:r>
          </w:p>
        </w:tc>
      </w:tr>
      <w:tr w:rsidR="00197AA0" w:rsidTr="00232C32">
        <w:trPr>
          <w:trHeight w:val="2321"/>
        </w:trPr>
        <w:tc>
          <w:tcPr>
            <w:tcW w:w="2160" w:type="dxa"/>
          </w:tcPr>
          <w:p w:rsidR="00197AA0" w:rsidRDefault="00197AA0">
            <w:pPr>
              <w:spacing w:after="200" w:line="360" w:lineRule="auto"/>
              <w:ind w:right="44"/>
              <w:rPr>
                <w:rStyle w:val="longtext"/>
                <w:rFonts w:ascii="Arial" w:hAnsi="Arial" w:cs="Arial"/>
                <w:sz w:val="18"/>
                <w:szCs w:val="18"/>
                <w:lang w:eastAsia="en-US"/>
              </w:rPr>
            </w:pPr>
            <w:r>
              <w:rPr>
                <w:rStyle w:val="longtext"/>
                <w:rFonts w:ascii="Arial" w:hAnsi="Arial" w:cs="Arial"/>
                <w:sz w:val="18"/>
                <w:szCs w:val="18"/>
              </w:rPr>
              <w:t>El Torrey Canyon fue construido en los EE.UU., en 1959, con una capacidad de carga de 60,000 toneladas.</w:t>
            </w:r>
            <w:r>
              <w:rPr>
                <w:rFonts w:ascii="Arial" w:hAnsi="Arial" w:cs="Arial"/>
                <w:sz w:val="18"/>
                <w:szCs w:val="18"/>
              </w:rPr>
              <w:br/>
            </w:r>
            <w:r>
              <w:rPr>
                <w:rStyle w:val="longtext"/>
                <w:rFonts w:ascii="Arial" w:hAnsi="Arial" w:cs="Arial"/>
                <w:sz w:val="18"/>
                <w:szCs w:val="18"/>
                <w:shd w:val="clear" w:color="auto" w:fill="FFFFFF"/>
              </w:rPr>
              <w:t>Más tarde, se amplió al doble de esa capacidad en Japón; 63,000 toneladas para la nave y 120,000 para la carga.</w:t>
            </w:r>
          </w:p>
        </w:tc>
        <w:tc>
          <w:tcPr>
            <w:tcW w:w="2161" w:type="dxa"/>
          </w:tcPr>
          <w:p w:rsidR="00197AA0" w:rsidRDefault="00197AA0">
            <w:pPr>
              <w:spacing w:line="360" w:lineRule="auto"/>
              <w:ind w:right="44"/>
              <w:rPr>
                <w:rStyle w:val="longtext"/>
                <w:rFonts w:ascii="Arial" w:hAnsi="Arial" w:cs="Arial"/>
                <w:sz w:val="18"/>
                <w:szCs w:val="18"/>
                <w:lang w:eastAsia="en-US"/>
              </w:rPr>
            </w:pPr>
            <w:r>
              <w:rPr>
                <w:rStyle w:val="longtext"/>
                <w:rFonts w:ascii="Arial" w:hAnsi="Arial" w:cs="Arial"/>
                <w:sz w:val="18"/>
                <w:szCs w:val="18"/>
              </w:rPr>
              <w:t>Cruzaba a unos 17 nudos, que representa unas 17 millas náuticas</w:t>
            </w:r>
            <w:r>
              <w:rPr>
                <w:rStyle w:val="Refdenotaalpie"/>
                <w:rFonts w:ascii="Arial" w:hAnsi="Arial" w:cs="Arial"/>
                <w:sz w:val="18"/>
                <w:szCs w:val="18"/>
              </w:rPr>
              <w:footnoteReference w:customMarkFollows="1" w:id="27"/>
              <w:sym w:font="Symbol" w:char="F02A"/>
            </w:r>
            <w:r>
              <w:rPr>
                <w:rStyle w:val="longtext"/>
                <w:rFonts w:ascii="Arial" w:hAnsi="Arial" w:cs="Arial"/>
                <w:sz w:val="18"/>
                <w:szCs w:val="18"/>
              </w:rPr>
              <w:t xml:space="preserve"> por hora.</w:t>
            </w:r>
          </w:p>
          <w:p w:rsidR="00197AA0" w:rsidRDefault="00197AA0">
            <w:pPr>
              <w:spacing w:after="200" w:line="360" w:lineRule="auto"/>
              <w:ind w:right="44"/>
              <w:rPr>
                <w:rStyle w:val="longtext"/>
                <w:rFonts w:ascii="Arial" w:hAnsi="Arial" w:cs="Arial"/>
                <w:sz w:val="18"/>
                <w:szCs w:val="18"/>
                <w:lang w:eastAsia="en-US"/>
              </w:rPr>
            </w:pPr>
            <w:r>
              <w:rPr>
                <w:rStyle w:val="longtext"/>
                <w:rFonts w:ascii="Arial" w:hAnsi="Arial" w:cs="Arial"/>
                <w:sz w:val="18"/>
                <w:szCs w:val="18"/>
              </w:rPr>
              <w:t>Le tomaba un minuto para dar un giro de 20 grados.</w:t>
            </w:r>
          </w:p>
        </w:tc>
        <w:tc>
          <w:tcPr>
            <w:tcW w:w="2703" w:type="dxa"/>
          </w:tcPr>
          <w:p w:rsidR="00197AA0" w:rsidRDefault="00197AA0">
            <w:pPr>
              <w:spacing w:line="360" w:lineRule="auto"/>
              <w:ind w:right="44"/>
              <w:rPr>
                <w:rStyle w:val="longtext"/>
                <w:rFonts w:ascii="Arial" w:hAnsi="Arial" w:cs="Arial"/>
                <w:sz w:val="18"/>
                <w:szCs w:val="18"/>
                <w:lang w:eastAsia="en-US"/>
              </w:rPr>
            </w:pPr>
            <w:r>
              <w:rPr>
                <w:rStyle w:val="longtext"/>
                <w:rFonts w:ascii="Arial" w:hAnsi="Arial" w:cs="Arial"/>
                <w:sz w:val="18"/>
                <w:szCs w:val="18"/>
              </w:rPr>
              <w:t xml:space="preserve">Tenía 3 modos diferentes de conducción: </w:t>
            </w:r>
          </w:p>
          <w:p w:rsidR="00197AA0" w:rsidRDefault="00197AA0">
            <w:pPr>
              <w:numPr>
                <w:ilvl w:val="0"/>
                <w:numId w:val="2"/>
              </w:numPr>
              <w:spacing w:line="360" w:lineRule="auto"/>
              <w:ind w:right="44"/>
              <w:rPr>
                <w:rStyle w:val="longtext"/>
                <w:rFonts w:ascii="Arial" w:hAnsi="Arial" w:cs="Arial"/>
                <w:sz w:val="18"/>
                <w:szCs w:val="18"/>
              </w:rPr>
            </w:pPr>
            <w:r>
              <w:rPr>
                <w:rStyle w:val="longtext"/>
                <w:rFonts w:ascii="Arial" w:hAnsi="Arial" w:cs="Arial"/>
                <w:sz w:val="18"/>
                <w:szCs w:val="18"/>
              </w:rPr>
              <w:t>Automático.</w:t>
            </w:r>
          </w:p>
          <w:p w:rsidR="00197AA0" w:rsidRDefault="00197AA0">
            <w:pPr>
              <w:numPr>
                <w:ilvl w:val="0"/>
                <w:numId w:val="2"/>
              </w:numPr>
              <w:spacing w:line="360" w:lineRule="auto"/>
              <w:ind w:right="44"/>
              <w:rPr>
                <w:rStyle w:val="longtext"/>
                <w:rFonts w:ascii="Arial" w:hAnsi="Arial" w:cs="Arial"/>
                <w:sz w:val="18"/>
                <w:szCs w:val="18"/>
              </w:rPr>
            </w:pPr>
            <w:r>
              <w:rPr>
                <w:rStyle w:val="longtext"/>
                <w:rFonts w:ascii="Arial" w:hAnsi="Arial" w:cs="Arial"/>
                <w:sz w:val="18"/>
                <w:szCs w:val="18"/>
              </w:rPr>
              <w:t>Manual.</w:t>
            </w:r>
          </w:p>
          <w:p w:rsidR="00197AA0" w:rsidRDefault="00197AA0">
            <w:pPr>
              <w:numPr>
                <w:ilvl w:val="0"/>
                <w:numId w:val="2"/>
              </w:numPr>
              <w:spacing w:line="360" w:lineRule="auto"/>
              <w:ind w:right="44"/>
              <w:rPr>
                <w:rStyle w:val="longtext"/>
                <w:rFonts w:ascii="Arial" w:hAnsi="Arial" w:cs="Arial"/>
                <w:sz w:val="18"/>
                <w:szCs w:val="18"/>
                <w:lang w:eastAsia="en-US"/>
              </w:rPr>
            </w:pPr>
            <w:r>
              <w:rPr>
                <w:rStyle w:val="longtext"/>
                <w:rFonts w:ascii="Arial" w:hAnsi="Arial" w:cs="Arial"/>
                <w:sz w:val="18"/>
                <w:szCs w:val="18"/>
              </w:rPr>
              <w:t>Desconectado.</w:t>
            </w:r>
          </w:p>
        </w:tc>
        <w:tc>
          <w:tcPr>
            <w:tcW w:w="1696" w:type="dxa"/>
          </w:tcPr>
          <w:p w:rsidR="00197AA0" w:rsidRDefault="00197AA0">
            <w:pPr>
              <w:spacing w:line="360" w:lineRule="auto"/>
              <w:ind w:right="44"/>
              <w:jc w:val="both"/>
              <w:rPr>
                <w:rStyle w:val="longtext"/>
                <w:rFonts w:ascii="Arial" w:hAnsi="Arial" w:cs="Arial"/>
                <w:sz w:val="18"/>
                <w:szCs w:val="18"/>
                <w:lang w:eastAsia="en-US"/>
              </w:rPr>
            </w:pPr>
            <w:r>
              <w:rPr>
                <w:rStyle w:val="longtext"/>
                <w:rFonts w:ascii="Arial" w:hAnsi="Arial" w:cs="Arial"/>
                <w:sz w:val="18"/>
                <w:szCs w:val="18"/>
              </w:rPr>
              <w:t>Un solo motor y hélice.</w:t>
            </w:r>
          </w:p>
          <w:p w:rsidR="00197AA0" w:rsidRDefault="00197AA0">
            <w:pPr>
              <w:spacing w:line="360" w:lineRule="auto"/>
              <w:ind w:right="44"/>
              <w:jc w:val="both"/>
              <w:rPr>
                <w:rStyle w:val="longtext"/>
                <w:rFonts w:ascii="Arial" w:hAnsi="Arial" w:cs="Arial"/>
                <w:sz w:val="18"/>
                <w:szCs w:val="18"/>
              </w:rPr>
            </w:pPr>
          </w:p>
          <w:p w:rsidR="00197AA0" w:rsidRDefault="00197AA0">
            <w:pPr>
              <w:spacing w:after="200" w:line="360" w:lineRule="auto"/>
              <w:ind w:right="44"/>
              <w:jc w:val="both"/>
              <w:rPr>
                <w:rStyle w:val="longtext"/>
                <w:rFonts w:ascii="Arial" w:hAnsi="Arial" w:cs="Arial"/>
                <w:sz w:val="18"/>
                <w:szCs w:val="18"/>
                <w:lang w:eastAsia="en-US"/>
              </w:rPr>
            </w:pPr>
            <w:r>
              <w:rPr>
                <w:rStyle w:val="longtext"/>
                <w:rFonts w:ascii="Arial" w:hAnsi="Arial" w:cs="Arial"/>
                <w:sz w:val="18"/>
                <w:szCs w:val="18"/>
              </w:rPr>
              <w:t>Utilizaba un Casco Sencillo.</w:t>
            </w:r>
          </w:p>
        </w:tc>
      </w:tr>
    </w:tbl>
    <w:p w:rsidR="00197AA0" w:rsidRPr="00816BCE" w:rsidRDefault="00197AA0" w:rsidP="00232C32">
      <w:pPr>
        <w:spacing w:line="360" w:lineRule="auto"/>
        <w:ind w:right="44"/>
        <w:rPr>
          <w:rStyle w:val="longtext"/>
          <w:rFonts w:ascii="Arial" w:hAnsi="Arial" w:cs="Arial"/>
          <w:sz w:val="18"/>
          <w:szCs w:val="18"/>
          <w:lang w:eastAsia="en-US"/>
        </w:rPr>
      </w:pPr>
      <w:r w:rsidRPr="00816BCE">
        <w:rPr>
          <w:rStyle w:val="longtext"/>
          <w:rFonts w:ascii="Arial" w:hAnsi="Arial" w:cs="Arial"/>
          <w:sz w:val="18"/>
          <w:szCs w:val="18"/>
        </w:rPr>
        <w:t xml:space="preserve">Fuente: </w:t>
      </w:r>
      <w:hyperlink r:id="rId20" w:history="1">
        <w:r w:rsidRPr="00816BCE">
          <w:rPr>
            <w:rStyle w:val="Hipervnculo"/>
            <w:rFonts w:ascii="Arial" w:hAnsi="Arial" w:cs="Arial"/>
            <w:color w:val="auto"/>
            <w:sz w:val="18"/>
            <w:szCs w:val="18"/>
            <w:u w:val="none"/>
          </w:rPr>
          <w:t>www.lboro.ac.uk/departments/hu/ergsinhu/aboutergs/lasttrip.html</w:t>
        </w:r>
      </w:hyperlink>
    </w:p>
    <w:p w:rsidR="00197AA0" w:rsidRDefault="00197AA0" w:rsidP="00232C32">
      <w:pPr>
        <w:spacing w:line="360" w:lineRule="auto"/>
        <w:ind w:right="44"/>
        <w:jc w:val="both"/>
        <w:rPr>
          <w:rStyle w:val="longtext"/>
          <w:rFonts w:ascii="Arial" w:hAnsi="Arial" w:cs="Arial"/>
          <w:b/>
          <w:sz w:val="22"/>
          <w:szCs w:val="22"/>
        </w:rPr>
      </w:pPr>
    </w:p>
    <w:p w:rsidR="00197AA0" w:rsidRPr="00816BCE" w:rsidRDefault="00197AA0" w:rsidP="00232C32">
      <w:pPr>
        <w:spacing w:line="360" w:lineRule="auto"/>
        <w:ind w:right="44" w:firstLine="567"/>
        <w:jc w:val="both"/>
        <w:rPr>
          <w:rStyle w:val="longtext"/>
          <w:rFonts w:ascii="Arial" w:hAnsi="Arial" w:cs="Arial"/>
          <w:sz w:val="22"/>
          <w:szCs w:val="22"/>
        </w:rPr>
      </w:pPr>
      <w:r w:rsidRPr="00816BCE">
        <w:rPr>
          <w:rStyle w:val="longtext"/>
          <w:rFonts w:ascii="Arial" w:hAnsi="Arial" w:cs="Arial"/>
          <w:sz w:val="22"/>
          <w:szCs w:val="22"/>
        </w:rPr>
        <w:t xml:space="preserve">Como ya se mencionó anteriormente en la parte introductoria, el 18 de Marzo de 1967, fue un día trágico para toda la humanidad así como también para el medio ambiente, en el cual se vertieron en el mar unos 860,000 barriles que representan 120,000 toneladas de crudo. Este accidente fue el primer gran desastre petrolero. </w:t>
      </w:r>
      <w:r w:rsidRPr="00816BCE">
        <w:rPr>
          <w:rStyle w:val="longtext"/>
          <w:rFonts w:ascii="Arial" w:hAnsi="Arial" w:cs="Arial"/>
          <w:sz w:val="22"/>
          <w:szCs w:val="22"/>
          <w:shd w:val="clear" w:color="auto" w:fill="FFFFFF"/>
        </w:rPr>
        <w:t xml:space="preserve">Al mando estaba el capitán Pastrengo Rugiati de nacionalidad italiana. </w:t>
      </w:r>
      <w:r w:rsidRPr="00816BCE">
        <w:rPr>
          <w:rStyle w:val="longtext"/>
          <w:rFonts w:ascii="Arial" w:hAnsi="Arial" w:cs="Arial"/>
          <w:sz w:val="22"/>
          <w:szCs w:val="22"/>
        </w:rPr>
        <w:t>Había sido capitán de un buque desde 1952 y había sido maestro del Torrey Canyon durante un año. El superpetrolero estaba llevando petróleo crudo de Kuwait en su camino a Milford Haven en  Gales.</w:t>
      </w: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51" type="#_x0000_t202" style="position:absolute;left:0;text-align:left;margin-left:190.4pt;margin-top:181.95pt;width:31.8pt;height:21pt;z-index:251677696;mso-height-percent:200;mso-height-percent:200;mso-width-relative:margin;mso-height-relative:margin" fillcolor="white [3212]" stroked="f">
            <v:textbox style="mso-next-textbox:#_x0000_s1051;mso-fit-shape-to-text:t">
              <w:txbxContent>
                <w:p w:rsidR="00AC7D7B" w:rsidRDefault="00AC7D7B" w:rsidP="00E825BB">
                  <w:r>
                    <w:t>4</w:t>
                  </w:r>
                </w:p>
              </w:txbxContent>
            </v:textbox>
          </v:shape>
        </w:pict>
      </w:r>
      <w:r w:rsidR="00197AA0" w:rsidRPr="00816BCE">
        <w:rPr>
          <w:rStyle w:val="longtext"/>
          <w:rFonts w:ascii="Arial" w:hAnsi="Arial" w:cs="Arial"/>
          <w:sz w:val="22"/>
          <w:szCs w:val="22"/>
        </w:rPr>
        <w:t>Debido a su tamaño, el buque no podía pasar por el Canal de Suez</w:t>
      </w:r>
      <w:r w:rsidR="00197AA0" w:rsidRPr="00816BCE">
        <w:rPr>
          <w:rStyle w:val="Refdenotaalpie"/>
          <w:rFonts w:ascii="Arial" w:hAnsi="Arial" w:cs="Arial"/>
          <w:sz w:val="22"/>
          <w:szCs w:val="22"/>
        </w:rPr>
        <w:footnoteReference w:customMarkFollows="1" w:id="28"/>
        <w:sym w:font="Symbol" w:char="F02A"/>
      </w:r>
      <w:r w:rsidR="00197AA0" w:rsidRPr="00816BCE">
        <w:rPr>
          <w:rFonts w:ascii="Arial" w:hAnsi="Arial" w:cs="Arial"/>
          <w:sz w:val="22"/>
          <w:szCs w:val="22"/>
        </w:rPr>
        <w:t xml:space="preserve">, es por lo tanto que la ruta cambió y es así como pasó por el Cabo de la buena esperanza, que se encuentra ubicado al Sur de África. Luego el 14 de Marzo paso entre Tenerife y Gran Canaria en las Islas Canarias. En este momento es cuando el capitán Pastrengo Rugiati </w:t>
      </w:r>
      <w:r w:rsidR="00197AA0" w:rsidRPr="00816BCE">
        <w:rPr>
          <w:rFonts w:ascii="Arial" w:hAnsi="Arial" w:cs="Arial"/>
          <w:sz w:val="22"/>
          <w:szCs w:val="22"/>
        </w:rPr>
        <w:lastRenderedPageBreak/>
        <w:t>decide llamar al agente del barco y se le informa que era necesario acelerar la marcha ya que se preveía una marea alta, por lo tanto resultaba primordial llegar lo más rápido posible a su destino. Es así como el decidió poner el motor en automático y dejó instrucción para que lo despertaran cuando fueran llegando a las Islas Sorlingas y es aquí donde vino a suceder la tragedia que hasta la actualidad aún se recuerda con mucho dolor por parte de la comunidad internacional.</w:t>
      </w:r>
    </w:p>
    <w:p w:rsidR="00197AA0" w:rsidRPr="00816BC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Ante ese accidente sucedido, se intentaron realizar una gran diversidad de acciones para ayudar a reducir la gravedad del incidente, una de esa serie de acciones tomadas fueron, que se utilizaron químicos para poder dispersar las miles de toneladas de crudo en el espacio marítimo, también otras de las acciones tomadas fueron incendiar el petróleo y reducir el crudo vertido, además el barco fue bombardeado con napalm</w:t>
      </w:r>
      <w:r w:rsidRPr="00816BCE">
        <w:rPr>
          <w:rStyle w:val="Refdenotaalpie"/>
          <w:rFonts w:ascii="Arial" w:hAnsi="Arial" w:cs="Arial"/>
          <w:sz w:val="22"/>
          <w:szCs w:val="22"/>
        </w:rPr>
        <w:footnoteReference w:customMarkFollows="1" w:id="29"/>
        <w:sym w:font="Symbol" w:char="F02A"/>
      </w:r>
      <w:r w:rsidRPr="00816BCE">
        <w:rPr>
          <w:rStyle w:val="Refdenotaalpie"/>
          <w:rFonts w:ascii="Arial" w:hAnsi="Arial" w:cs="Arial"/>
          <w:sz w:val="22"/>
          <w:szCs w:val="22"/>
        </w:rPr>
        <w:sym w:font="Symbol" w:char="F02A"/>
      </w:r>
      <w:r w:rsidRPr="00816BCE">
        <w:rPr>
          <w:rFonts w:ascii="Arial" w:hAnsi="Arial" w:cs="Arial"/>
          <w:sz w:val="22"/>
          <w:szCs w:val="22"/>
        </w:rPr>
        <w:t xml:space="preserve"> y con otros explosivos. Lastimosamente ninguna de estas medidas anteriormente mencionadas tuvo un gran éxito y esto también se debió a la poca planificación que se tenía, ya que no habían existido anteriormente tragedias de semejante magnitud como lo fue lo del Torrey Canyon. Con respecto al hábitat natural, resultó uno de los mayores afectados ya que se estima que unas 15,000 aves murieron, debido al petróleo que fue derramado en el mar, así como también por los químicos que utilizaron para intentar neutralizar toda la contaminación producidas por el hidrocarburo</w:t>
      </w:r>
      <w:r w:rsidRPr="00816BCE">
        <w:rPr>
          <w:rStyle w:val="Refdenotaalpie"/>
          <w:rFonts w:ascii="Arial" w:hAnsi="Arial" w:cs="Arial"/>
          <w:sz w:val="22"/>
          <w:szCs w:val="22"/>
        </w:rPr>
        <w:footnoteReference w:id="30"/>
      </w:r>
      <w:r w:rsidRPr="00816BCE">
        <w:rPr>
          <w:rFonts w:ascii="Arial" w:hAnsi="Arial" w:cs="Arial"/>
          <w:sz w:val="22"/>
          <w:szCs w:val="22"/>
        </w:rPr>
        <w:t xml:space="preserve">.        </w:t>
      </w:r>
    </w:p>
    <w:p w:rsidR="00197AA0" w:rsidRPr="00816BCE"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 xml:space="preserve">     </w:t>
      </w:r>
    </w:p>
    <w:p w:rsidR="00197AA0" w:rsidRDefault="001D7573" w:rsidP="00232C32">
      <w:pPr>
        <w:autoSpaceDE w:val="0"/>
        <w:autoSpaceDN w:val="0"/>
        <w:adjustRightInd w:val="0"/>
        <w:spacing w:line="360" w:lineRule="auto"/>
        <w:ind w:right="44" w:firstLine="567"/>
        <w:jc w:val="both"/>
        <w:rPr>
          <w:rFonts w:ascii="Arial" w:hAnsi="Arial" w:cs="Arial"/>
          <w:sz w:val="22"/>
          <w:szCs w:val="22"/>
          <w:lang w:val="es-CL"/>
        </w:rPr>
      </w:pPr>
      <w:r>
        <w:rPr>
          <w:rFonts w:ascii="Arial" w:hAnsi="Arial" w:cs="Arial"/>
          <w:noProof/>
          <w:sz w:val="22"/>
          <w:szCs w:val="22"/>
        </w:rPr>
        <w:pict>
          <v:shape id="_x0000_s1052" type="#_x0000_t202" style="position:absolute;left:0;text-align:left;margin-left:216.2pt;margin-top:280.6pt;width:31.8pt;height:21pt;z-index:251678720;mso-height-percent:200;mso-height-percent:200;mso-width-relative:margin;mso-height-relative:margin" fillcolor="white [3212]" stroked="f">
            <v:textbox style="mso-next-textbox:#_x0000_s1052;mso-fit-shape-to-text:t">
              <w:txbxContent>
                <w:p w:rsidR="00AC7D7B" w:rsidRDefault="00AC7D7B" w:rsidP="00E825BB">
                  <w:r>
                    <w:t>5</w:t>
                  </w:r>
                </w:p>
              </w:txbxContent>
            </v:textbox>
          </v:shape>
        </w:pict>
      </w:r>
      <w:r w:rsidR="00197AA0" w:rsidRPr="00816BCE">
        <w:rPr>
          <w:rFonts w:ascii="Arial" w:hAnsi="Arial" w:cs="Arial"/>
          <w:sz w:val="22"/>
          <w:szCs w:val="22"/>
        </w:rPr>
        <w:t>Como ya se ha descrito anteriormente, la tragedia del superpetrolero Torrey Canyon, desencadenó una gran conmoción a nivel internacional</w:t>
      </w:r>
      <w:r w:rsidR="00197AA0" w:rsidRPr="00816BCE">
        <w:rPr>
          <w:rFonts w:ascii="Arial" w:hAnsi="Arial" w:cs="Arial"/>
          <w:sz w:val="22"/>
          <w:szCs w:val="22"/>
          <w:lang w:val="es-CL"/>
        </w:rPr>
        <w:t xml:space="preserve">, que trajo grandes consecuencias negativas tanto para la humanidad como también así para el hábitat natural sobre todo de las zonas afectadas por el crudo derramado. Las consecuencias de este accidente fueron muy graves a pesar que ya existían antecedentes en la regulación para evitar este tipo de tragedias, tal es el caso de </w:t>
      </w:r>
      <w:r w:rsidR="00197AA0" w:rsidRPr="00816BCE">
        <w:rPr>
          <w:rFonts w:ascii="Arial" w:hAnsi="Arial" w:cs="Arial"/>
          <w:sz w:val="22"/>
          <w:szCs w:val="22"/>
        </w:rPr>
        <w:t>El Convenio internacional para prevenir la contaminación de las aguas del mar por hidrocarburos de 1954 (OILPOL 1954)</w:t>
      </w:r>
      <w:r w:rsidR="00197AA0" w:rsidRPr="00816BCE">
        <w:rPr>
          <w:rFonts w:ascii="Arial" w:hAnsi="Arial" w:cs="Arial"/>
          <w:sz w:val="22"/>
          <w:szCs w:val="22"/>
          <w:lang w:val="es-CL"/>
        </w:rPr>
        <w:t xml:space="preserve">, en el cual se reconocía el potencial de contaminación del medio marino por el transporte de hidrocarburos. El OILPOL de 1954 reconocía que la mayor parte de la contaminación por hidrocarburos proviene de las operaciones rutinarias de limpieza de los buques, como en el caso de la limpieza de los tanques de carga. En 1962 se </w:t>
      </w:r>
      <w:r w:rsidR="00197AA0" w:rsidRPr="00816BCE">
        <w:rPr>
          <w:rFonts w:ascii="Arial" w:hAnsi="Arial" w:cs="Arial"/>
          <w:sz w:val="22"/>
          <w:szCs w:val="22"/>
          <w:lang w:val="es-CL"/>
        </w:rPr>
        <w:lastRenderedPageBreak/>
        <w:t xml:space="preserve">ampliaron los límites por medio de una enmienda que se adoptó en la Conferencia organizada por la </w:t>
      </w:r>
      <w:r w:rsidR="00197AA0" w:rsidRPr="00816BCE">
        <w:rPr>
          <w:rFonts w:ascii="Arial" w:hAnsi="Arial" w:cs="Arial"/>
          <w:sz w:val="22"/>
          <w:szCs w:val="22"/>
        </w:rPr>
        <w:t>Organización Marítima Internacional (</w:t>
      </w:r>
      <w:r w:rsidR="00197AA0" w:rsidRPr="00816BCE">
        <w:rPr>
          <w:rFonts w:ascii="Arial" w:hAnsi="Arial" w:cs="Arial"/>
          <w:sz w:val="22"/>
          <w:szCs w:val="22"/>
          <w:lang w:val="es-CL"/>
        </w:rPr>
        <w:t>OMI).</w:t>
      </w:r>
    </w:p>
    <w:p w:rsidR="00197AA0" w:rsidRPr="00816BCE" w:rsidRDefault="00197AA0" w:rsidP="00232C32">
      <w:pPr>
        <w:autoSpaceDE w:val="0"/>
        <w:autoSpaceDN w:val="0"/>
        <w:adjustRightInd w:val="0"/>
        <w:spacing w:line="360" w:lineRule="auto"/>
        <w:ind w:right="44" w:firstLine="567"/>
        <w:jc w:val="both"/>
        <w:rPr>
          <w:rFonts w:ascii="Arial" w:hAnsi="Arial" w:cs="Arial"/>
          <w:sz w:val="22"/>
          <w:szCs w:val="22"/>
          <w:lang w:val="es-CL"/>
        </w:rPr>
      </w:pPr>
    </w:p>
    <w:p w:rsidR="00197AA0" w:rsidRDefault="00197AA0" w:rsidP="00232C32">
      <w:pPr>
        <w:spacing w:line="360" w:lineRule="auto"/>
        <w:ind w:right="44" w:firstLine="567"/>
        <w:jc w:val="both"/>
        <w:rPr>
          <w:rFonts w:ascii="Arial" w:hAnsi="Arial" w:cs="Arial"/>
          <w:sz w:val="22"/>
          <w:szCs w:val="22"/>
          <w:lang w:val="es-CL"/>
        </w:rPr>
      </w:pPr>
      <w:r w:rsidRPr="00816BCE">
        <w:rPr>
          <w:rFonts w:ascii="Arial" w:hAnsi="Arial" w:cs="Arial"/>
          <w:sz w:val="22"/>
          <w:szCs w:val="22"/>
          <w:lang w:val="es-CL"/>
        </w:rPr>
        <w:t xml:space="preserve">Es por lo tanto, que ante la situación planteada, donde ya existía un mecanismo de regulación marítima de hidrocarburos, como la OILPOL  que también ya se había ratificado, el problema entonces fue que para esos tiempos o en esos momentos, el control de la contaminación marina por hidrocarburos no era un tema de tanta importancia para la OMI, debido principalmente a que no se había dado en años anteriores un accidente de la magnitud del Torrey Canyon, además la sociedad comenzaba a entrar en el proceso de la industrialización. </w:t>
      </w:r>
    </w:p>
    <w:p w:rsidR="00197AA0" w:rsidRPr="00816BCE" w:rsidRDefault="00197AA0" w:rsidP="00232C32">
      <w:pPr>
        <w:spacing w:line="360" w:lineRule="auto"/>
        <w:ind w:right="44" w:firstLine="567"/>
        <w:jc w:val="both"/>
        <w:rPr>
          <w:rFonts w:ascii="Arial" w:hAnsi="Arial" w:cs="Arial"/>
          <w:sz w:val="22"/>
          <w:szCs w:val="22"/>
          <w:lang w:val="es-CL"/>
        </w:rPr>
      </w:pPr>
    </w:p>
    <w:p w:rsidR="00197AA0" w:rsidRDefault="00197AA0" w:rsidP="00232C32">
      <w:pPr>
        <w:spacing w:line="360" w:lineRule="auto"/>
        <w:ind w:right="44" w:firstLine="567"/>
        <w:jc w:val="both"/>
        <w:rPr>
          <w:rFonts w:ascii="Arial" w:hAnsi="Arial" w:cs="Arial"/>
          <w:sz w:val="22"/>
          <w:szCs w:val="22"/>
          <w:lang w:val="es-CL"/>
        </w:rPr>
      </w:pPr>
      <w:r w:rsidRPr="00816BCE">
        <w:rPr>
          <w:rFonts w:ascii="Arial" w:hAnsi="Arial" w:cs="Arial"/>
          <w:sz w:val="22"/>
          <w:szCs w:val="22"/>
        </w:rPr>
        <w:t xml:space="preserve">A raíz del siniestro del </w:t>
      </w:r>
      <w:r w:rsidRPr="00816BCE">
        <w:rPr>
          <w:rFonts w:ascii="Arial" w:hAnsi="Arial" w:cs="Arial"/>
          <w:iCs/>
          <w:sz w:val="22"/>
          <w:szCs w:val="22"/>
        </w:rPr>
        <w:t>Torrey Canyon</w:t>
      </w:r>
      <w:r w:rsidRPr="00816BCE">
        <w:rPr>
          <w:rFonts w:ascii="Arial" w:hAnsi="Arial" w:cs="Arial"/>
          <w:sz w:val="22"/>
          <w:szCs w:val="22"/>
        </w:rPr>
        <w:t xml:space="preserve"> en 1967, frente a la costa sur de Inglaterra, se elaboró un régimen internacional bajo los auspicios de la OMI para facilitar la indemnización por daños causados por derrames procedentes de petroleros. El marco del régimen fue originalmente el Convenio Internacional sobre Responsabilidad Civil por Daños Causados por la Contaminación de las Aguas del Mar por Hidrocarburos, 1969 (Convenio de Responsabilidad Civil de 1969) y el Convenio Internacional de Constitución de un Fondo Internacional de Indemnización de Daños Causados por la Contaminación de Hidrocarburos, 1971 (Convenio del FONDO de 1971). Estos Convenios entraron en vigor en 1975 y 1978 respectivamente.</w:t>
      </w:r>
      <w:r w:rsidRPr="00816BCE">
        <w:rPr>
          <w:rFonts w:ascii="Arial" w:hAnsi="Arial" w:cs="Arial"/>
          <w:sz w:val="22"/>
          <w:szCs w:val="22"/>
          <w:lang w:val="es-CL"/>
        </w:rPr>
        <w:t xml:space="preserve"> Por este motivo es que el suceso del Torrey Canyon, marcó un hito decisivo para la OMI como organización, ya que este, extendió sus actividades a los ámbitos jurídico y medioambiental. A continuación se explicarán de manera más detallada cada uno de estos convenios que surgieron del desastre ecológico.</w:t>
      </w:r>
    </w:p>
    <w:p w:rsidR="00197AA0" w:rsidRPr="00816BCE" w:rsidRDefault="00197AA0" w:rsidP="00232C32">
      <w:pPr>
        <w:spacing w:line="360" w:lineRule="auto"/>
        <w:ind w:right="44" w:firstLine="567"/>
        <w:jc w:val="both"/>
        <w:rPr>
          <w:rFonts w:ascii="Arial" w:hAnsi="Arial" w:cs="Arial"/>
          <w:sz w:val="22"/>
          <w:szCs w:val="22"/>
          <w:lang w:val="es-CL"/>
        </w:rPr>
      </w:pPr>
    </w:p>
    <w:p w:rsidR="00197AA0" w:rsidRDefault="001D7573" w:rsidP="00232C32">
      <w:pPr>
        <w:spacing w:line="360" w:lineRule="auto"/>
        <w:ind w:right="44" w:firstLine="567"/>
        <w:jc w:val="both"/>
        <w:rPr>
          <w:rFonts w:ascii="Arial" w:hAnsi="Arial" w:cs="Arial"/>
          <w:sz w:val="22"/>
          <w:szCs w:val="22"/>
          <w:lang w:val="es-CL"/>
        </w:rPr>
      </w:pPr>
      <w:r>
        <w:rPr>
          <w:rFonts w:ascii="Arial" w:hAnsi="Arial" w:cs="Arial"/>
          <w:noProof/>
          <w:sz w:val="22"/>
          <w:szCs w:val="22"/>
        </w:rPr>
        <w:pict>
          <v:shape id="_x0000_s1053" type="#_x0000_t202" style="position:absolute;left:0;text-align:left;margin-left:195.15pt;margin-top:169.05pt;width:31.8pt;height:21pt;z-index:251679744;mso-height-percent:200;mso-height-percent:200;mso-width-relative:margin;mso-height-relative:margin" fillcolor="white [3212]" stroked="f">
            <v:textbox style="mso-next-textbox:#_x0000_s1053;mso-fit-shape-to-text:t">
              <w:txbxContent>
                <w:p w:rsidR="00AC7D7B" w:rsidRDefault="00AC7D7B" w:rsidP="00E825BB">
                  <w:r>
                    <w:t>6</w:t>
                  </w:r>
                </w:p>
              </w:txbxContent>
            </v:textbox>
          </v:shape>
        </w:pict>
      </w:r>
      <w:r w:rsidR="00197AA0" w:rsidRPr="00816BCE">
        <w:rPr>
          <w:rFonts w:ascii="Arial" w:hAnsi="Arial" w:cs="Arial"/>
          <w:sz w:val="22"/>
          <w:szCs w:val="22"/>
          <w:lang w:val="es-CL"/>
        </w:rPr>
        <w:t xml:space="preserve">En el año de 1969, se realizó en Bruselas, una Conferencia Diplomática que aprobó el Convenio Internacional sobre la Responsabilidad Civil nacida de Daños Debidos a Contaminación por Hidrocarburos CLC 1969, el cual obligaba a los armadores de los buques tanques que transportaban hidrocarburos persistentes, de aquellos países que ratificaron o se adhirieron al convenio, a tomar un seguro que limitara su responsabilidad de indemnización de los daños generados por  un  derrame de  la  carga.  El monto  de la  indemnización  se  calcula  en  base al TRG del  buque, los  valores actuales  pueden </w:t>
      </w:r>
      <w:r w:rsidR="00197AA0" w:rsidRPr="00816BCE">
        <w:rPr>
          <w:rFonts w:ascii="Arial" w:hAnsi="Arial" w:cs="Arial"/>
          <w:sz w:val="22"/>
          <w:szCs w:val="22"/>
          <w:lang w:val="es-CL"/>
        </w:rPr>
        <w:lastRenderedPageBreak/>
        <w:t> variar entre US $ 100,000 hasta US $ 19,000,000 dependiendo del arqueo bruto del buque</w:t>
      </w:r>
      <w:r w:rsidR="00197AA0" w:rsidRPr="00816BCE">
        <w:rPr>
          <w:rStyle w:val="Refdenotaalpie"/>
          <w:rFonts w:ascii="Arial" w:hAnsi="Arial" w:cs="Arial"/>
          <w:sz w:val="22"/>
          <w:szCs w:val="22"/>
          <w:lang w:val="es-CL"/>
        </w:rPr>
        <w:footnoteReference w:id="31"/>
      </w:r>
      <w:r w:rsidR="00197AA0" w:rsidRPr="00816BCE">
        <w:rPr>
          <w:rFonts w:ascii="Arial" w:hAnsi="Arial" w:cs="Arial"/>
          <w:sz w:val="22"/>
          <w:szCs w:val="22"/>
          <w:lang w:val="es-CL"/>
        </w:rPr>
        <w:t>.</w:t>
      </w:r>
    </w:p>
    <w:p w:rsidR="00197AA0" w:rsidRPr="00816BCE" w:rsidRDefault="00197AA0" w:rsidP="00232C32">
      <w:pPr>
        <w:spacing w:line="360" w:lineRule="auto"/>
        <w:ind w:right="44" w:firstLine="567"/>
        <w:jc w:val="both"/>
        <w:rPr>
          <w:rFonts w:ascii="Arial" w:hAnsi="Arial" w:cs="Arial"/>
          <w:sz w:val="22"/>
          <w:szCs w:val="22"/>
          <w:lang w:val="es-CL"/>
        </w:rPr>
      </w:pPr>
    </w:p>
    <w:p w:rsidR="00197AA0" w:rsidRPr="00816BCE" w:rsidRDefault="00197AA0" w:rsidP="00232C32">
      <w:pPr>
        <w:pStyle w:val="NormalWeb"/>
        <w:spacing w:before="0" w:after="0" w:line="360" w:lineRule="auto"/>
        <w:ind w:right="44" w:firstLine="567"/>
        <w:jc w:val="both"/>
        <w:rPr>
          <w:rFonts w:ascii="Arial" w:hAnsi="Arial" w:cs="Arial"/>
          <w:sz w:val="22"/>
          <w:szCs w:val="22"/>
        </w:rPr>
      </w:pPr>
      <w:r w:rsidRPr="00816BCE">
        <w:rPr>
          <w:rFonts w:ascii="Arial" w:hAnsi="Arial" w:cs="Arial"/>
          <w:sz w:val="22"/>
          <w:szCs w:val="22"/>
          <w:lang w:val="es-CL"/>
        </w:rPr>
        <w:t xml:space="preserve">Pero como aún con este convenio creado, el marco regulatorio aún era muy débil, se decidió crear el </w:t>
      </w:r>
      <w:r w:rsidRPr="00816BCE">
        <w:rPr>
          <w:rFonts w:ascii="Arial" w:hAnsi="Arial" w:cs="Arial"/>
          <w:bCs/>
          <w:sz w:val="22"/>
          <w:szCs w:val="22"/>
          <w:lang w:val="es-CL"/>
        </w:rPr>
        <w:t>Convenio Internacional sobre la Constitución de un Fondo Internacional de Indemnización de Daños Debidos a la Contaminación por Hidrocarburos, CONVENIO FONDOS 1971</w:t>
      </w:r>
      <w:r w:rsidRPr="00816BCE">
        <w:rPr>
          <w:rFonts w:ascii="Arial" w:hAnsi="Arial" w:cs="Arial"/>
          <w:b/>
          <w:bCs/>
          <w:sz w:val="22"/>
          <w:szCs w:val="22"/>
          <w:lang w:val="es-CL"/>
        </w:rPr>
        <w:t xml:space="preserve">. </w:t>
      </w:r>
      <w:r w:rsidRPr="00816BCE">
        <w:rPr>
          <w:rFonts w:ascii="Arial" w:hAnsi="Arial" w:cs="Arial"/>
          <w:bCs/>
          <w:sz w:val="22"/>
          <w:szCs w:val="22"/>
          <w:lang w:val="es-CL"/>
        </w:rPr>
        <w:t>Se</w:t>
      </w:r>
      <w:r w:rsidRPr="00816BCE">
        <w:rPr>
          <w:rFonts w:ascii="Arial" w:hAnsi="Arial" w:cs="Arial"/>
          <w:b/>
          <w:bCs/>
          <w:sz w:val="22"/>
          <w:szCs w:val="22"/>
          <w:lang w:val="es-CL"/>
        </w:rPr>
        <w:t xml:space="preserve"> </w:t>
      </w:r>
      <w:r w:rsidRPr="00816BCE">
        <w:rPr>
          <w:rFonts w:ascii="Arial" w:hAnsi="Arial" w:cs="Arial"/>
          <w:sz w:val="22"/>
          <w:szCs w:val="22"/>
          <w:lang w:val="es-CL"/>
        </w:rPr>
        <w:t>efectúo  una  conferencia diplomática en Bruselas, Bélgica, para aprobar el Convenio Internacional FONDO 1971, el que, complementando el Convenio CLC 1969, aumentaba la posibilidad de compensación hasta US $ 83,000,000 incluyendo como previa la cantidad de compensación que aporta el Convenio CLC 1969</w:t>
      </w:r>
      <w:r w:rsidRPr="00816BCE">
        <w:rPr>
          <w:rStyle w:val="Refdenotaalpie"/>
          <w:rFonts w:ascii="Arial" w:hAnsi="Arial" w:cs="Arial"/>
          <w:sz w:val="22"/>
          <w:szCs w:val="22"/>
          <w:lang w:val="es-CL"/>
        </w:rPr>
        <w:footnoteReference w:id="32"/>
      </w:r>
      <w:r w:rsidRPr="00816BCE">
        <w:rPr>
          <w:rFonts w:ascii="Arial" w:hAnsi="Arial" w:cs="Arial"/>
          <w:sz w:val="22"/>
          <w:szCs w:val="22"/>
          <w:lang w:val="es-CL"/>
        </w:rPr>
        <w:t>.</w:t>
      </w:r>
    </w:p>
    <w:p w:rsidR="00197AA0" w:rsidRPr="00816BCE" w:rsidRDefault="00197AA0" w:rsidP="00232C32">
      <w:pPr>
        <w:pStyle w:val="NormalWeb"/>
        <w:spacing w:line="360" w:lineRule="auto"/>
        <w:ind w:right="44" w:firstLine="567"/>
        <w:jc w:val="both"/>
        <w:rPr>
          <w:rFonts w:ascii="Arial" w:hAnsi="Arial" w:cs="Arial"/>
          <w:sz w:val="22"/>
          <w:szCs w:val="22"/>
        </w:rPr>
      </w:pPr>
      <w:r w:rsidRPr="00816BCE">
        <w:rPr>
          <w:rFonts w:ascii="Arial" w:hAnsi="Arial" w:cs="Arial"/>
          <w:sz w:val="22"/>
          <w:szCs w:val="22"/>
          <w:lang w:val="es-CL"/>
        </w:rPr>
        <w:t>Este Convenio FONDO es una organización intergubernamental que está compuesta por una asamblea formada por los representantes de los países que lo han ratificado, una secretaría encabezada por un director designado; que también se encarga de administrar el FONDO; encargada de liquidar las reclamaciones presentadas y un comité ejecutivo (integrado por 15 países miembros), controla y resuelve asuntos de la administración  del convenio. El objetivo del Convenio FONDO, es proveer compensación complementaria una vez que ha actuado el Convenio CLC 69, por los daños generados a particulares o a un Estado, por derrames de hidrocarburos persistentes procedentes de la carga de buques tanques.</w:t>
      </w:r>
    </w:p>
    <w:p w:rsidR="00197AA0" w:rsidRPr="00816BCE" w:rsidRDefault="00197AA0" w:rsidP="00232C32">
      <w:pPr>
        <w:pStyle w:val="NormalWeb"/>
        <w:spacing w:line="360" w:lineRule="auto"/>
        <w:ind w:right="44" w:firstLine="567"/>
        <w:jc w:val="both"/>
        <w:rPr>
          <w:rFonts w:ascii="Arial" w:hAnsi="Arial" w:cs="Arial"/>
          <w:sz w:val="22"/>
          <w:szCs w:val="22"/>
          <w:lang w:val="es-CL"/>
        </w:rPr>
      </w:pPr>
      <w:r w:rsidRPr="00816BCE">
        <w:rPr>
          <w:rFonts w:ascii="Arial" w:hAnsi="Arial" w:cs="Arial"/>
          <w:sz w:val="22"/>
          <w:szCs w:val="22"/>
          <w:lang w:val="es-CL"/>
        </w:rPr>
        <w:t>El Convenio FONDO 1971 opera mediante el financiamiento de un fondo pecuniario que lo paga el importador de crudo o aceites pesados que haya recibido sobre 150,000 TON, mediante:</w:t>
      </w:r>
    </w:p>
    <w:p w:rsidR="00197AA0" w:rsidRPr="00816BCE" w:rsidRDefault="00197AA0" w:rsidP="00232C32">
      <w:pPr>
        <w:pStyle w:val="NormalWeb"/>
        <w:numPr>
          <w:ilvl w:val="0"/>
          <w:numId w:val="3"/>
        </w:numPr>
        <w:suppressAutoHyphens w:val="0"/>
        <w:spacing w:before="100" w:after="100" w:line="360" w:lineRule="auto"/>
        <w:ind w:right="44"/>
        <w:jc w:val="both"/>
        <w:rPr>
          <w:rFonts w:ascii="Arial" w:hAnsi="Arial" w:cs="Arial"/>
          <w:sz w:val="22"/>
          <w:szCs w:val="22"/>
          <w:lang w:val="es-CL"/>
        </w:rPr>
      </w:pPr>
      <w:r w:rsidRPr="00816BCE">
        <w:rPr>
          <w:rFonts w:ascii="Arial" w:hAnsi="Arial" w:cs="Arial"/>
          <w:sz w:val="22"/>
          <w:szCs w:val="22"/>
          <w:lang w:val="es-CL"/>
        </w:rPr>
        <w:t>Una contribución inicial por cada tonelada de hidrocarburos sujeto a contribución (0,003145 SDR</w:t>
      </w:r>
      <w:r w:rsidRPr="00816BCE">
        <w:rPr>
          <w:rStyle w:val="Refdenotaalpie"/>
          <w:rFonts w:ascii="Arial" w:hAnsi="Arial" w:cs="Arial"/>
          <w:sz w:val="22"/>
          <w:szCs w:val="22"/>
          <w:lang w:val="es-CL"/>
        </w:rPr>
        <w:footnoteReference w:customMarkFollows="1" w:id="33"/>
        <w:sym w:font="Symbol" w:char="F02A"/>
      </w:r>
      <w:r w:rsidRPr="00816BCE">
        <w:rPr>
          <w:rFonts w:ascii="Arial" w:hAnsi="Arial" w:cs="Arial"/>
          <w:sz w:val="22"/>
          <w:szCs w:val="22"/>
          <w:lang w:val="es-CL"/>
        </w:rPr>
        <w:t>), 1 SDR (DEG) = US$1,344.</w:t>
      </w:r>
    </w:p>
    <w:p w:rsidR="00197AA0" w:rsidRPr="00816BCE" w:rsidRDefault="00197AA0" w:rsidP="00232C32">
      <w:pPr>
        <w:pStyle w:val="NormalWeb"/>
        <w:numPr>
          <w:ilvl w:val="0"/>
          <w:numId w:val="3"/>
        </w:numPr>
        <w:suppressAutoHyphens w:val="0"/>
        <w:spacing w:before="100" w:after="100" w:line="360" w:lineRule="auto"/>
        <w:ind w:right="44"/>
        <w:jc w:val="both"/>
        <w:rPr>
          <w:rFonts w:ascii="Arial" w:hAnsi="Arial" w:cs="Arial"/>
          <w:sz w:val="22"/>
          <w:szCs w:val="22"/>
          <w:lang w:val="es-CL"/>
        </w:rPr>
      </w:pPr>
      <w:r w:rsidRPr="00816BCE">
        <w:rPr>
          <w:rFonts w:ascii="Arial" w:hAnsi="Arial" w:cs="Arial"/>
          <w:sz w:val="22"/>
          <w:szCs w:val="22"/>
          <w:lang w:val="es-CL"/>
        </w:rPr>
        <w:t>Una contribución anual por cada tonelada de hidrocarburo recibido, cuyo monto es decidido por la Asamblea del FONDOS.</w:t>
      </w:r>
    </w:p>
    <w:p w:rsidR="00197AA0" w:rsidRPr="00816BCE" w:rsidRDefault="001D7573" w:rsidP="00232C32">
      <w:pPr>
        <w:pStyle w:val="NormalWeb"/>
        <w:numPr>
          <w:ilvl w:val="0"/>
          <w:numId w:val="3"/>
        </w:numPr>
        <w:suppressAutoHyphens w:val="0"/>
        <w:spacing w:before="100" w:after="100" w:line="360" w:lineRule="auto"/>
        <w:ind w:right="44"/>
        <w:jc w:val="both"/>
        <w:rPr>
          <w:rFonts w:ascii="Arial" w:hAnsi="Arial" w:cs="Arial"/>
          <w:sz w:val="22"/>
          <w:szCs w:val="22"/>
          <w:lang w:val="es-CL"/>
        </w:rPr>
      </w:pPr>
      <w:r>
        <w:rPr>
          <w:rFonts w:ascii="Arial" w:hAnsi="Arial" w:cs="Arial"/>
          <w:noProof/>
          <w:sz w:val="22"/>
          <w:szCs w:val="22"/>
        </w:rPr>
        <w:pict>
          <v:shape id="_x0000_s1054" type="#_x0000_t202" style="position:absolute;left:0;text-align:left;margin-left:219.8pt;margin-top:104.05pt;width:31.8pt;height:21pt;z-index:251680768;mso-height-percent:200;mso-height-percent:200;mso-width-relative:margin;mso-height-relative:margin" fillcolor="white [3212]" stroked="f">
            <v:textbox style="mso-next-textbox:#_x0000_s1054;mso-fit-shape-to-text:t">
              <w:txbxContent>
                <w:p w:rsidR="00AC7D7B" w:rsidRDefault="00AC7D7B" w:rsidP="00E825BB">
                  <w:r>
                    <w:t>7</w:t>
                  </w:r>
                </w:p>
              </w:txbxContent>
            </v:textbox>
          </v:shape>
        </w:pict>
      </w:r>
      <w:r w:rsidR="00197AA0" w:rsidRPr="00816BCE">
        <w:rPr>
          <w:rFonts w:ascii="Arial" w:hAnsi="Arial" w:cs="Arial"/>
          <w:sz w:val="22"/>
          <w:szCs w:val="22"/>
          <w:lang w:val="es-CL"/>
        </w:rPr>
        <w:t>Las contribuciones son pagadas individualmente por cada importador directamente al FONDO, mediante factura extendida por el tal institución.</w:t>
      </w:r>
    </w:p>
    <w:p w:rsidR="00197AA0" w:rsidRPr="00816BCE" w:rsidRDefault="00197AA0" w:rsidP="00232C32">
      <w:pPr>
        <w:pStyle w:val="NormalWeb"/>
        <w:numPr>
          <w:ilvl w:val="0"/>
          <w:numId w:val="3"/>
        </w:numPr>
        <w:suppressAutoHyphens w:val="0"/>
        <w:spacing w:before="100" w:after="100" w:line="360" w:lineRule="auto"/>
        <w:ind w:right="44"/>
        <w:jc w:val="both"/>
        <w:rPr>
          <w:rFonts w:ascii="Arial" w:hAnsi="Arial" w:cs="Arial"/>
          <w:sz w:val="22"/>
          <w:szCs w:val="22"/>
          <w:lang w:val="es-CL"/>
        </w:rPr>
      </w:pPr>
      <w:r w:rsidRPr="00816BCE">
        <w:rPr>
          <w:rFonts w:ascii="Arial" w:hAnsi="Arial" w:cs="Arial"/>
          <w:sz w:val="22"/>
          <w:szCs w:val="22"/>
          <w:lang w:val="es-CL"/>
        </w:rPr>
        <w:lastRenderedPageBreak/>
        <w:t>El Estado, salvo ratificar o adoptar el Convenio FONDOS, no es responsable por la acción de los contribuyentes, salvo que así lo dispusiera, pero deberá informar la cantidad del petróleo recibida por cada importador y adecuar su legislación objeto, reconocer personalidad jurídica al FONDO y poder ser parte éste en toda acción emprendida ante los tribunales del Estado.</w:t>
      </w:r>
    </w:p>
    <w:p w:rsidR="00197AA0" w:rsidRPr="00816BCE" w:rsidRDefault="00197AA0" w:rsidP="00232C32">
      <w:pPr>
        <w:pStyle w:val="NormalWeb"/>
        <w:spacing w:line="360" w:lineRule="auto"/>
        <w:ind w:right="44" w:firstLine="567"/>
        <w:jc w:val="both"/>
        <w:rPr>
          <w:rFonts w:ascii="Arial" w:hAnsi="Arial" w:cs="Arial"/>
          <w:sz w:val="22"/>
          <w:szCs w:val="22"/>
          <w:lang w:val="es-CL"/>
        </w:rPr>
      </w:pPr>
      <w:r w:rsidRPr="00816BCE">
        <w:rPr>
          <w:rFonts w:ascii="Arial" w:hAnsi="Arial" w:cs="Arial"/>
          <w:sz w:val="22"/>
          <w:szCs w:val="22"/>
          <w:lang w:val="es-CL"/>
        </w:rPr>
        <w:t>Finalmente también se puede mencionar la creación del Convenio Internacional para Prevenir la Contaminación por los Buques, MARPOL 1973. Este convenio incorporó gran parte del OILPOL1954 y sus enmiendas en el Anexo I, que trata de los hidrocarburos, mientras que otros anexos comprenden los productos químicos, las sustancias perjudiciales transportadas en bultos, las aguas sucias y basuras.</w:t>
      </w:r>
    </w:p>
    <w:p w:rsidR="00197AA0" w:rsidRDefault="00197AA0" w:rsidP="00232C32">
      <w:pPr>
        <w:autoSpaceDE w:val="0"/>
        <w:autoSpaceDN w:val="0"/>
        <w:adjustRightInd w:val="0"/>
        <w:spacing w:line="360" w:lineRule="auto"/>
        <w:ind w:right="44" w:firstLine="567"/>
        <w:jc w:val="both"/>
        <w:rPr>
          <w:rFonts w:ascii="Arial" w:hAnsi="Arial" w:cs="Arial"/>
          <w:sz w:val="22"/>
          <w:szCs w:val="22"/>
        </w:rPr>
      </w:pPr>
      <w:r w:rsidRPr="00816BCE">
        <w:rPr>
          <w:rFonts w:ascii="Arial" w:hAnsi="Arial" w:cs="Arial"/>
          <w:sz w:val="22"/>
          <w:szCs w:val="22"/>
        </w:rPr>
        <w:t>Una disposición importante del Anexo I era la regla 13, que prescribe tanques de lastre separado en los nuevos buques tanque de más de 70,000 toneladas de peso muerto. El objetivo era asegurar que el agua de lastre (llevada a bordo para mantener la estabilidad, por ejemplo cuando un buque tanque va a embarcar y navega vacío) nunca se contaminara con los hidrocarburos transportados como carga o combustible.</w:t>
      </w:r>
    </w:p>
    <w:p w:rsidR="00197AA0" w:rsidRPr="00816BCE" w:rsidRDefault="00197AA0" w:rsidP="00232C32">
      <w:pPr>
        <w:autoSpaceDE w:val="0"/>
        <w:autoSpaceDN w:val="0"/>
        <w:adjustRightInd w:val="0"/>
        <w:spacing w:line="360" w:lineRule="auto"/>
        <w:ind w:right="44" w:firstLine="567"/>
        <w:jc w:val="both"/>
        <w:rPr>
          <w:rFonts w:ascii="Arial" w:hAnsi="Arial" w:cs="Arial"/>
          <w:sz w:val="22"/>
          <w:szCs w:val="22"/>
        </w:rPr>
      </w:pPr>
    </w:p>
    <w:p w:rsidR="00197AA0" w:rsidRDefault="00197AA0" w:rsidP="00232C32">
      <w:pPr>
        <w:autoSpaceDE w:val="0"/>
        <w:autoSpaceDN w:val="0"/>
        <w:adjustRightInd w:val="0"/>
        <w:spacing w:line="360" w:lineRule="auto"/>
        <w:ind w:right="44" w:firstLine="567"/>
        <w:jc w:val="both"/>
        <w:rPr>
          <w:rFonts w:ascii="Arial" w:hAnsi="Arial" w:cs="Arial"/>
          <w:sz w:val="22"/>
          <w:szCs w:val="22"/>
        </w:rPr>
      </w:pPr>
      <w:r w:rsidRPr="00816BCE">
        <w:rPr>
          <w:rFonts w:ascii="Arial" w:hAnsi="Arial" w:cs="Arial"/>
          <w:sz w:val="22"/>
          <w:szCs w:val="22"/>
        </w:rPr>
        <w:t xml:space="preserve">El ritmo de ratificación del convenio fue muy lento (debido en parte a los problemas técnicos que planteaba la ratificación del Anexo II), y la no ratificación del MARPOL acabó convirtiéndose en un problema muy importante. Al mismo tiempo, una serie de accidentes de buques tanque en 1976 y 1977, ocurridos mayormente cerca de aguas estadounidenses, entre ellos la varada del </w:t>
      </w:r>
      <w:r w:rsidRPr="00816BCE">
        <w:rPr>
          <w:rFonts w:ascii="Arial" w:hAnsi="Arial" w:cs="Arial"/>
          <w:bCs/>
          <w:sz w:val="22"/>
          <w:szCs w:val="22"/>
        </w:rPr>
        <w:t>Argo Merchant</w:t>
      </w:r>
      <w:r w:rsidRPr="00816BCE">
        <w:rPr>
          <w:rStyle w:val="Refdenotaalpie"/>
          <w:rFonts w:ascii="Arial" w:hAnsi="Arial" w:cs="Arial"/>
          <w:bCs/>
          <w:sz w:val="22"/>
          <w:szCs w:val="22"/>
        </w:rPr>
        <w:footnoteReference w:customMarkFollows="1" w:id="34"/>
        <w:sym w:font="Symbol" w:char="F02A"/>
      </w:r>
      <w:r w:rsidRPr="00816BCE">
        <w:rPr>
          <w:rFonts w:ascii="Arial" w:hAnsi="Arial" w:cs="Arial"/>
          <w:sz w:val="22"/>
          <w:szCs w:val="22"/>
        </w:rPr>
        <w:t>, llevaron a exigir acciones más drásticas para limitar la contaminación accidental y operacional por hidrocarburos. Ya con la modificación de 1978, el Protocolo amplió las prescripciones sobre tanques de lastre separado a todo petrolero nuevo para crudos, de peso muerto igual o superior a 20,000 toneladas, y todo petrolero nuevo para productos petrolíferos, de peso muerto igual o superior a las 30,000 toneladas. El protocolo dispuso también que los tanques de lastre separado estuvieran emplazados como elementos de protección, es decir, situados en zonas del buque que limitasen al mínimo la posibilidad de escapes de hidrocarburos en caso de abordaje o varada.</w:t>
      </w:r>
    </w:p>
    <w:p w:rsidR="00197AA0" w:rsidRPr="00816BCE" w:rsidRDefault="001D7573" w:rsidP="00232C32">
      <w:pPr>
        <w:autoSpaceDE w:val="0"/>
        <w:autoSpaceDN w:val="0"/>
        <w:adjustRightInd w:val="0"/>
        <w:spacing w:line="360" w:lineRule="auto"/>
        <w:ind w:right="44" w:firstLine="567"/>
        <w:jc w:val="both"/>
        <w:rPr>
          <w:rFonts w:ascii="Arial" w:hAnsi="Arial" w:cs="Arial"/>
          <w:sz w:val="22"/>
          <w:szCs w:val="22"/>
        </w:rPr>
      </w:pPr>
      <w:r>
        <w:rPr>
          <w:rFonts w:ascii="Arial" w:hAnsi="Arial" w:cs="Arial"/>
          <w:noProof/>
          <w:sz w:val="22"/>
          <w:szCs w:val="22"/>
        </w:rPr>
        <w:pict>
          <v:shape id="_x0000_s1055" type="#_x0000_t202" style="position:absolute;left:0;text-align:left;margin-left:171.3pt;margin-top:91.3pt;width:31.8pt;height:21pt;z-index:251681792;mso-height-percent:200;mso-height-percent:200;mso-width-relative:margin;mso-height-relative:margin" fillcolor="white [3212]" stroked="f">
            <v:textbox style="mso-next-textbox:#_x0000_s1055;mso-fit-shape-to-text:t">
              <w:txbxContent>
                <w:p w:rsidR="00AC7D7B" w:rsidRDefault="00AC7D7B" w:rsidP="00E825BB">
                  <w:r>
                    <w:t>8</w:t>
                  </w:r>
                </w:p>
              </w:txbxContent>
            </v:textbox>
          </v:shape>
        </w:pict>
      </w:r>
    </w:p>
    <w:p w:rsidR="00197AA0" w:rsidRDefault="00197AA0" w:rsidP="00AD099B">
      <w:pPr>
        <w:autoSpaceDE w:val="0"/>
        <w:autoSpaceDN w:val="0"/>
        <w:adjustRightInd w:val="0"/>
        <w:spacing w:line="360" w:lineRule="auto"/>
        <w:ind w:right="44" w:firstLine="567"/>
        <w:jc w:val="both"/>
        <w:rPr>
          <w:rFonts w:ascii="Arial" w:hAnsi="Arial" w:cs="Arial"/>
          <w:sz w:val="22"/>
          <w:szCs w:val="22"/>
        </w:rPr>
      </w:pPr>
      <w:r w:rsidRPr="00816BCE">
        <w:rPr>
          <w:rFonts w:ascii="Arial" w:hAnsi="Arial" w:cs="Arial"/>
          <w:sz w:val="22"/>
          <w:szCs w:val="22"/>
        </w:rPr>
        <w:lastRenderedPageBreak/>
        <w:t>Es así como fueron surgiendo estos mecanismos anteriormente mencionados, con el objetivo de ayudar a disminuir los niveles de contaminación que se estaban registrando en los espacios marítimos con la gran cantidad de petróleo derramado del buque Torrey Canyon.</w:t>
      </w:r>
      <w:r>
        <w:rPr>
          <w:rFonts w:ascii="Arial" w:hAnsi="Arial" w:cs="Arial"/>
          <w:sz w:val="22"/>
          <w:szCs w:val="22"/>
        </w:rPr>
        <w:t xml:space="preserve"> </w:t>
      </w:r>
      <w:r w:rsidRPr="00816BCE">
        <w:rPr>
          <w:rFonts w:ascii="Arial" w:hAnsi="Arial" w:cs="Arial"/>
          <w:sz w:val="22"/>
          <w:szCs w:val="22"/>
        </w:rPr>
        <w:t>A lo largo de la descripción del buque Torrey Canyon, se puede decir que fue un caso que marco un hito muy importante tanto en aspectos jurídicos como también así ecológicos, ya que con respecto a este último, se causó muchísimo daño al hábitat natural como ya se mencionó anteriormente.</w:t>
      </w:r>
    </w:p>
    <w:p w:rsidR="00197AA0" w:rsidRPr="00816BCE" w:rsidRDefault="00197AA0" w:rsidP="00232C32">
      <w:pPr>
        <w:spacing w:line="360" w:lineRule="auto"/>
        <w:ind w:right="44" w:firstLine="567"/>
        <w:jc w:val="both"/>
        <w:rPr>
          <w:rFonts w:ascii="Arial" w:hAnsi="Arial" w:cs="Arial"/>
          <w:sz w:val="22"/>
          <w:szCs w:val="22"/>
        </w:rPr>
      </w:pPr>
    </w:p>
    <w:p w:rsidR="00197AA0" w:rsidRDefault="00197AA0" w:rsidP="00232C32">
      <w:pPr>
        <w:autoSpaceDE w:val="0"/>
        <w:autoSpaceDN w:val="0"/>
        <w:adjustRightInd w:val="0"/>
        <w:spacing w:line="360" w:lineRule="auto"/>
        <w:ind w:right="44" w:firstLine="567"/>
        <w:jc w:val="both"/>
        <w:rPr>
          <w:rFonts w:ascii="Arial" w:hAnsi="Arial" w:cs="Arial"/>
          <w:sz w:val="22"/>
          <w:szCs w:val="22"/>
        </w:rPr>
      </w:pPr>
      <w:r w:rsidRPr="00816BCE">
        <w:rPr>
          <w:rFonts w:ascii="Arial" w:hAnsi="Arial" w:cs="Arial"/>
          <w:sz w:val="22"/>
          <w:szCs w:val="22"/>
        </w:rPr>
        <w:t xml:space="preserve">El suceso del </w:t>
      </w:r>
      <w:r w:rsidRPr="00816BCE">
        <w:rPr>
          <w:rFonts w:ascii="Arial" w:hAnsi="Arial" w:cs="Arial"/>
          <w:bCs/>
          <w:sz w:val="22"/>
          <w:szCs w:val="22"/>
        </w:rPr>
        <w:t>Torrey Canyon</w:t>
      </w:r>
      <w:r w:rsidRPr="00816BCE">
        <w:rPr>
          <w:rFonts w:ascii="Arial" w:hAnsi="Arial" w:cs="Arial"/>
          <w:b/>
          <w:bCs/>
          <w:sz w:val="22"/>
          <w:szCs w:val="22"/>
        </w:rPr>
        <w:t xml:space="preserve"> </w:t>
      </w:r>
      <w:r w:rsidRPr="00816BCE">
        <w:rPr>
          <w:rFonts w:ascii="Arial" w:hAnsi="Arial" w:cs="Arial"/>
          <w:sz w:val="22"/>
          <w:szCs w:val="22"/>
        </w:rPr>
        <w:t>también marcó un hito decisivo para la OMI como organización, puesto que este organismo extendió sus actividades a los ámbitos jurídico y medioambiental.  Se creó un comité jurídico especial que más tarde se convertiría en órgano auxiliar permanente del consejo de la OMI. Siguieron convenios internacionales sobre responsabilidad e indemnización, como es el caso de el Convenio Internacional sobre Responsabilidad Civil nacida de Daños Debidos a Contaminación por Hidrocarburos (CLC), 1969; y el Convenio Internacional sobre la Constitución de un Fondo Internacional de Indemnización de Daños Debidos a Contaminación por Hidrocarburos (FONDO), 1971.</w:t>
      </w:r>
    </w:p>
    <w:p w:rsidR="00197AA0" w:rsidRPr="00816BCE" w:rsidRDefault="00197AA0" w:rsidP="00232C32">
      <w:pPr>
        <w:autoSpaceDE w:val="0"/>
        <w:autoSpaceDN w:val="0"/>
        <w:adjustRightInd w:val="0"/>
        <w:spacing w:line="360" w:lineRule="auto"/>
        <w:ind w:right="44" w:firstLine="567"/>
        <w:jc w:val="both"/>
        <w:rPr>
          <w:rFonts w:ascii="Arial" w:hAnsi="Arial" w:cs="Arial"/>
          <w:sz w:val="22"/>
          <w:szCs w:val="22"/>
        </w:rPr>
      </w:pPr>
    </w:p>
    <w:p w:rsidR="00197AA0" w:rsidRDefault="00197AA0" w:rsidP="00232C32">
      <w:pPr>
        <w:autoSpaceDE w:val="0"/>
        <w:autoSpaceDN w:val="0"/>
        <w:adjustRightInd w:val="0"/>
        <w:spacing w:line="360" w:lineRule="auto"/>
        <w:ind w:right="44" w:firstLine="567"/>
        <w:jc w:val="both"/>
        <w:rPr>
          <w:rFonts w:ascii="Arial" w:hAnsi="Arial" w:cs="Arial"/>
          <w:sz w:val="22"/>
          <w:szCs w:val="22"/>
        </w:rPr>
      </w:pPr>
      <w:r w:rsidRPr="00816BCE">
        <w:rPr>
          <w:rFonts w:ascii="Arial" w:hAnsi="Arial" w:cs="Arial"/>
          <w:sz w:val="22"/>
          <w:szCs w:val="22"/>
        </w:rPr>
        <w:t xml:space="preserve"> Además cabe destacar brevemente como conclusión que cuando se estaban negociando estos dos convenios, también se adoptaron dos planes voluntarios correspondientes del sector. Estos dos planes se conocían como TOVALOP (Acuerdo Voluntario de los Armadores de Buques Tanque Relativo a la Responsabilidad Nacida de la Contaminación por Hidrocarburos) y CRISTAL (Contrato Relativo a un Complemento Provisional de la Responsabilidad Nacida de la Contaminación por Hidrocarburos de Buques Tanque). El objetivo de estos dos acuerdos voluntarios era brindar beneficios comparables a los disponibles en virtud del Convenio de Responsabilidad Civil y del Convenio del FONDO en Estados que no hubieran ratificado aquellos convenios. </w:t>
      </w:r>
    </w:p>
    <w:p w:rsidR="00197AA0" w:rsidRPr="00816BCE" w:rsidRDefault="00197AA0" w:rsidP="00232C32">
      <w:pPr>
        <w:autoSpaceDE w:val="0"/>
        <w:autoSpaceDN w:val="0"/>
        <w:adjustRightInd w:val="0"/>
        <w:spacing w:line="360" w:lineRule="auto"/>
        <w:ind w:right="44" w:firstLine="567"/>
        <w:jc w:val="both"/>
        <w:rPr>
          <w:rFonts w:ascii="Arial" w:hAnsi="Arial" w:cs="Arial"/>
          <w:sz w:val="22"/>
          <w:szCs w:val="22"/>
        </w:rPr>
      </w:pPr>
    </w:p>
    <w:p w:rsidR="00197AA0" w:rsidRPr="00816BCE" w:rsidRDefault="001D7573" w:rsidP="00232C32">
      <w:pPr>
        <w:autoSpaceDE w:val="0"/>
        <w:autoSpaceDN w:val="0"/>
        <w:adjustRightInd w:val="0"/>
        <w:spacing w:line="360" w:lineRule="auto"/>
        <w:ind w:right="44" w:firstLine="567"/>
        <w:jc w:val="both"/>
        <w:rPr>
          <w:rFonts w:ascii="Arial" w:hAnsi="Arial" w:cs="Arial"/>
          <w:sz w:val="22"/>
          <w:szCs w:val="22"/>
        </w:rPr>
      </w:pPr>
      <w:r>
        <w:rPr>
          <w:rFonts w:ascii="Arial" w:hAnsi="Arial" w:cs="Arial"/>
          <w:noProof/>
          <w:sz w:val="22"/>
          <w:szCs w:val="22"/>
        </w:rPr>
        <w:pict>
          <v:shape id="_x0000_s1056" type="#_x0000_t202" style="position:absolute;left:0;text-align:left;margin-left:234.75pt;margin-top:139.5pt;width:31.8pt;height:21pt;z-index:251682816;mso-height-percent:200;mso-height-percent:200;mso-width-relative:margin;mso-height-relative:margin" fillcolor="white [3212]" stroked="f">
            <v:textbox style="mso-next-textbox:#_x0000_s1056;mso-fit-shape-to-text:t">
              <w:txbxContent>
                <w:p w:rsidR="00AC7D7B" w:rsidRDefault="00AC7D7B" w:rsidP="00E825BB">
                  <w:r>
                    <w:t>9</w:t>
                  </w:r>
                </w:p>
              </w:txbxContent>
            </v:textbox>
          </v:shape>
        </w:pict>
      </w:r>
      <w:r w:rsidR="00197AA0" w:rsidRPr="00816BCE">
        <w:rPr>
          <w:rFonts w:ascii="Arial" w:hAnsi="Arial" w:cs="Arial"/>
          <w:sz w:val="22"/>
          <w:szCs w:val="22"/>
        </w:rPr>
        <w:t>Tanto el TOVALOP como el CRISTAL estaban pensados como soluciones provisionales que permanecerían en vigor solamente hasta que los convenios internacionales tuviesen una aplicación mundial. Actualmente estos dos planes voluntarios ya no están vigor</w:t>
      </w:r>
      <w:r w:rsidR="00197AA0" w:rsidRPr="00816BCE">
        <w:rPr>
          <w:rStyle w:val="Refdenotaalpie"/>
          <w:rFonts w:ascii="Arial" w:hAnsi="Arial" w:cs="Arial"/>
          <w:sz w:val="22"/>
          <w:szCs w:val="22"/>
        </w:rPr>
        <w:footnoteReference w:id="35"/>
      </w:r>
      <w:r w:rsidR="00197AA0" w:rsidRPr="00816BCE">
        <w:rPr>
          <w:rFonts w:ascii="Arial" w:hAnsi="Arial" w:cs="Arial"/>
          <w:sz w:val="22"/>
          <w:szCs w:val="22"/>
        </w:rPr>
        <w:t xml:space="preserve">. Para el año de 1995 se decidió que estos acuerdos que </w:t>
      </w:r>
      <w:r w:rsidR="00197AA0" w:rsidRPr="00816BCE">
        <w:rPr>
          <w:rFonts w:ascii="Arial" w:hAnsi="Arial" w:cs="Arial"/>
          <w:sz w:val="22"/>
          <w:szCs w:val="22"/>
        </w:rPr>
        <w:lastRenderedPageBreak/>
        <w:t>eran de carácter voluntario se extinguiesen el 20 de febrero de 1997, ya que se creía que la pertinencia de los acuerdos provisionales antes mencionados se había desgastado, debido a que cada vez más, diversos Estados se estaban adhiriendo al Convenio de Responsabilidad Civil de 1969 y el Convenio del FONDO de 1971 y en los protocolos de 1992.</w:t>
      </w:r>
    </w:p>
    <w:p w:rsidR="00197AA0" w:rsidRPr="00816BCE" w:rsidRDefault="00197AA0" w:rsidP="00232C32">
      <w:pPr>
        <w:autoSpaceDE w:val="0"/>
        <w:autoSpaceDN w:val="0"/>
        <w:adjustRightInd w:val="0"/>
        <w:spacing w:line="360" w:lineRule="auto"/>
        <w:ind w:right="44" w:firstLine="567"/>
        <w:jc w:val="both"/>
        <w:rPr>
          <w:rFonts w:ascii="Arial" w:hAnsi="Arial" w:cs="Arial"/>
          <w:sz w:val="22"/>
          <w:szCs w:val="22"/>
        </w:rPr>
      </w:pPr>
      <w:r w:rsidRPr="00816BCE">
        <w:rPr>
          <w:rFonts w:ascii="Arial" w:hAnsi="Arial" w:cs="Arial"/>
          <w:sz w:val="22"/>
          <w:szCs w:val="22"/>
        </w:rPr>
        <w:t>Así mismo resulta trascendental aclarar que en la actualidad a consecuencia de un número creciente de Estados que denunciaron los convenios de 1969 y 1971 y ratificaron los convenios de 1992, el antiguo régimen como se le solía conocer también perdió importancia. El Convenio del FONDO de 1971 dejó de estar en vigor el 24 de mayo de 2002 cuando el número de los Estados miembros del FONDO de 1971 era inferior a 25. Por consiguiente, el Fondo de 1971 está siendo liquidado, pero continuará sus operaciones hasta que se hayan liquidado todas las reclamaciones pendientes derivadas de siniestros ocurridos hasta el 24 de mayo de 2002</w:t>
      </w:r>
      <w:r w:rsidRPr="00816BCE">
        <w:rPr>
          <w:rStyle w:val="Refdenotaalpie"/>
          <w:rFonts w:ascii="Arial" w:hAnsi="Arial" w:cs="Arial"/>
          <w:sz w:val="22"/>
          <w:szCs w:val="22"/>
        </w:rPr>
        <w:footnoteReference w:id="36"/>
      </w:r>
      <w:r w:rsidRPr="00816BCE">
        <w:rPr>
          <w:rFonts w:ascii="Arial" w:hAnsi="Arial" w:cs="Arial"/>
          <w:sz w:val="22"/>
          <w:szCs w:val="22"/>
        </w:rPr>
        <w:t>.</w:t>
      </w:r>
    </w:p>
    <w:p w:rsidR="00197AA0" w:rsidRPr="00816BCE" w:rsidRDefault="00197AA0" w:rsidP="00232C32">
      <w:pPr>
        <w:autoSpaceDE w:val="0"/>
        <w:autoSpaceDN w:val="0"/>
        <w:adjustRightInd w:val="0"/>
        <w:spacing w:line="360" w:lineRule="auto"/>
        <w:ind w:right="44"/>
        <w:jc w:val="both"/>
        <w:rPr>
          <w:rFonts w:ascii="Arial" w:hAnsi="Arial" w:cs="Arial"/>
          <w:sz w:val="22"/>
          <w:szCs w:val="22"/>
        </w:rPr>
      </w:pPr>
    </w:p>
    <w:p w:rsidR="00197AA0" w:rsidRPr="00816BCE" w:rsidRDefault="00197AA0" w:rsidP="00AD099B">
      <w:pPr>
        <w:numPr>
          <w:ilvl w:val="2"/>
          <w:numId w:val="1"/>
        </w:numPr>
        <w:ind w:right="44"/>
        <w:rPr>
          <w:rFonts w:ascii="Arial" w:hAnsi="Arial" w:cs="Arial"/>
          <w:b/>
          <w:sz w:val="22"/>
          <w:szCs w:val="22"/>
        </w:rPr>
      </w:pPr>
      <w:r w:rsidRPr="00816BCE">
        <w:rPr>
          <w:rFonts w:ascii="Arial" w:hAnsi="Arial" w:cs="Arial"/>
          <w:b/>
          <w:sz w:val="22"/>
          <w:szCs w:val="22"/>
        </w:rPr>
        <w:t>Exxon Valdez</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 xml:space="preserve">Otro de los accidentes ocurridos en zona marítima, es el de la embarcación petrolera conocida como Exxon Valdez, ocurrido el 24 de marzo de 1989, en ruta de la terminal petrolera de Alyeska, Valdez Alaska a Los Ángeles, California, que encalló en Bligh Reef,  específicamente  en </w:t>
      </w:r>
      <w:hyperlink r:id="rId21" w:tooltip="Príncipe William de sonido, Alaska" w:history="1">
        <w:r w:rsidRPr="00816BCE">
          <w:rPr>
            <w:rStyle w:val="Hipervnculo"/>
            <w:rFonts w:ascii="Arial" w:hAnsi="Arial" w:cs="Arial"/>
            <w:color w:val="auto"/>
            <w:sz w:val="22"/>
            <w:szCs w:val="22"/>
            <w:u w:val="none"/>
          </w:rPr>
          <w:t>Prince William Sound, Alaska</w:t>
        </w:r>
      </w:hyperlink>
      <w:r w:rsidRPr="00816BCE">
        <w:rPr>
          <w:rFonts w:ascii="Arial" w:hAnsi="Arial" w:cs="Arial"/>
          <w:sz w:val="22"/>
          <w:szCs w:val="22"/>
        </w:rPr>
        <w:t xml:space="preserve">. </w:t>
      </w:r>
    </w:p>
    <w:p w:rsidR="00197AA0" w:rsidRPr="00816BCE" w:rsidRDefault="00197AA0" w:rsidP="00232C32">
      <w:pPr>
        <w:spacing w:line="360" w:lineRule="auto"/>
        <w:ind w:right="44" w:firstLine="567"/>
        <w:jc w:val="both"/>
        <w:rPr>
          <w:rFonts w:ascii="Arial" w:hAnsi="Arial" w:cs="Arial"/>
          <w:sz w:val="22"/>
          <w:szCs w:val="22"/>
        </w:rPr>
      </w:pPr>
    </w:p>
    <w:p w:rsidR="00197AA0" w:rsidRPr="00816BCE"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Considerado como uno de los peores desastres ambientales de este tipo, el barco derramó 38,000 toneladas de petróleo en Prince William Sound, después de que el buque encalló en un acantilado, dejando como resultado, más de 2,000 km de costa contaminada, matando a miles de especies marinas y con un grave impacto en la industria pesquera de la región. En los cinco años que siguieron al</w:t>
      </w:r>
      <w:r>
        <w:rPr>
          <w:rFonts w:ascii="Arial" w:hAnsi="Arial" w:cs="Arial"/>
        </w:rPr>
        <w:t xml:space="preserve"> </w:t>
      </w:r>
      <w:r w:rsidRPr="00816BCE">
        <w:rPr>
          <w:rFonts w:ascii="Arial" w:hAnsi="Arial" w:cs="Arial"/>
          <w:sz w:val="22"/>
          <w:szCs w:val="22"/>
        </w:rPr>
        <w:t>desastre, el petróleo mostró una dispersión a un ritmo de alrededor de 70% cada año</w:t>
      </w:r>
      <w:r w:rsidRPr="00816BCE">
        <w:rPr>
          <w:rStyle w:val="Refdenotaalpie"/>
          <w:rFonts w:ascii="Arial" w:hAnsi="Arial" w:cs="Arial"/>
          <w:sz w:val="22"/>
          <w:szCs w:val="22"/>
        </w:rPr>
        <w:footnoteReference w:id="37"/>
      </w:r>
      <w:r w:rsidRPr="00816BCE">
        <w:rPr>
          <w:rFonts w:ascii="Arial" w:hAnsi="Arial" w:cs="Arial"/>
          <w:sz w:val="22"/>
          <w:szCs w:val="22"/>
        </w:rPr>
        <w:t>.  Por ello resulta interesante mencionar a uno de los casos más emblemáticos, que despertaron el interés de la comunidad internacional, a raíz del cual se ha generado un marco regulatorio que responda a posibles catástrofes de contaminación, evitando de esta forma la contaminación por hidrocarburos en los espacios marítimos internacionales.</w:t>
      </w: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57" type="#_x0000_t202" style="position:absolute;left:0;text-align:left;margin-left:179.55pt;margin-top:85.3pt;width:31.8pt;height:21pt;z-index:251683840;mso-height-percent:200;mso-height-percent:200;mso-width-relative:margin;mso-height-relative:margin" fillcolor="white [3212]" stroked="f">
            <v:textbox style="mso-next-textbox:#_x0000_s1057;mso-fit-shape-to-text:t">
              <w:txbxContent>
                <w:p w:rsidR="00AC7D7B" w:rsidRDefault="00AC7D7B" w:rsidP="00E825BB">
                  <w:r>
                    <w:t>10</w:t>
                  </w:r>
                </w:p>
              </w:txbxContent>
            </v:textbox>
          </v:shape>
        </w:pict>
      </w:r>
    </w:p>
    <w:p w:rsidR="00197AA0" w:rsidRPr="00816BCE"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lastRenderedPageBreak/>
        <w:t>En primer lugar cabe destacar las características que el buque Exxon Valdez posee para efectos de ilustrar más detalladamente la problemática en cuestión:</w:t>
      </w:r>
    </w:p>
    <w:p w:rsidR="00197AA0" w:rsidRDefault="00197AA0" w:rsidP="00232C32">
      <w:pPr>
        <w:spacing w:line="360" w:lineRule="auto"/>
        <w:ind w:right="44"/>
        <w:jc w:val="both"/>
        <w:rPr>
          <w:rFonts w:ascii="Arial" w:hAnsi="Arial" w:cs="Arial"/>
          <w:b/>
          <w:sz w:val="22"/>
          <w:szCs w:val="22"/>
        </w:rPr>
      </w:pPr>
    </w:p>
    <w:p w:rsidR="00197AA0" w:rsidRPr="00816BCE" w:rsidRDefault="00197AA0" w:rsidP="00232C32">
      <w:pPr>
        <w:spacing w:line="360" w:lineRule="auto"/>
        <w:ind w:right="44"/>
        <w:jc w:val="both"/>
        <w:rPr>
          <w:rFonts w:ascii="Arial" w:hAnsi="Arial" w:cs="Arial"/>
          <w:b/>
          <w:sz w:val="22"/>
          <w:szCs w:val="22"/>
        </w:rPr>
      </w:pPr>
      <w:r w:rsidRPr="00816BCE">
        <w:rPr>
          <w:rFonts w:ascii="Arial" w:hAnsi="Arial" w:cs="Arial"/>
          <w:b/>
          <w:sz w:val="22"/>
          <w:szCs w:val="22"/>
        </w:rPr>
        <w:t>Tabla 1.2 Buque Exxon Valdez</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940"/>
        <w:gridCol w:w="2922"/>
        <w:gridCol w:w="3303"/>
      </w:tblGrid>
      <w:tr w:rsidR="00197AA0" w:rsidTr="00232C32">
        <w:trPr>
          <w:trHeight w:val="279"/>
        </w:trPr>
        <w:tc>
          <w:tcPr>
            <w:tcW w:w="2940" w:type="dxa"/>
          </w:tcPr>
          <w:p w:rsidR="00197AA0" w:rsidRDefault="00197AA0">
            <w:pPr>
              <w:autoSpaceDE w:val="0"/>
              <w:snapToGrid w:val="0"/>
              <w:spacing w:line="360" w:lineRule="auto"/>
              <w:ind w:right="44"/>
              <w:jc w:val="center"/>
              <w:rPr>
                <w:rFonts w:ascii="Arial" w:hAnsi="Arial" w:cs="Arial"/>
                <w:b/>
                <w:bCs/>
                <w:color w:val="000000"/>
                <w:sz w:val="18"/>
                <w:szCs w:val="18"/>
                <w:lang w:eastAsia="en-US"/>
              </w:rPr>
            </w:pPr>
          </w:p>
          <w:p w:rsidR="00197AA0" w:rsidRDefault="00197AA0">
            <w:pPr>
              <w:autoSpaceDE w:val="0"/>
              <w:spacing w:line="360" w:lineRule="auto"/>
              <w:ind w:right="44"/>
              <w:jc w:val="center"/>
              <w:rPr>
                <w:rFonts w:ascii="Arial" w:hAnsi="Arial" w:cs="Arial"/>
                <w:b/>
                <w:bCs/>
                <w:color w:val="000000"/>
                <w:sz w:val="18"/>
                <w:szCs w:val="18"/>
              </w:rPr>
            </w:pPr>
            <w:r>
              <w:rPr>
                <w:rFonts w:ascii="Arial" w:hAnsi="Arial" w:cs="Arial"/>
                <w:b/>
                <w:bCs/>
                <w:color w:val="000000"/>
                <w:sz w:val="18"/>
                <w:szCs w:val="18"/>
              </w:rPr>
              <w:t>Accidente</w:t>
            </w:r>
          </w:p>
          <w:p w:rsidR="00197AA0" w:rsidRDefault="00197AA0">
            <w:pPr>
              <w:spacing w:after="200" w:line="360" w:lineRule="auto"/>
              <w:ind w:right="44"/>
              <w:jc w:val="center"/>
              <w:rPr>
                <w:rFonts w:ascii="Arial" w:hAnsi="Arial" w:cs="Arial"/>
                <w:color w:val="0D0D0D"/>
                <w:sz w:val="18"/>
                <w:szCs w:val="18"/>
                <w:lang w:eastAsia="en-US"/>
              </w:rPr>
            </w:pPr>
          </w:p>
        </w:tc>
        <w:tc>
          <w:tcPr>
            <w:tcW w:w="2922" w:type="dxa"/>
          </w:tcPr>
          <w:p w:rsidR="00197AA0" w:rsidRDefault="00197AA0">
            <w:pPr>
              <w:snapToGrid w:val="0"/>
              <w:spacing w:line="360" w:lineRule="auto"/>
              <w:ind w:right="44"/>
              <w:rPr>
                <w:rFonts w:ascii="Arial" w:hAnsi="Arial" w:cs="Arial"/>
                <w:b/>
                <w:bCs/>
                <w:color w:val="000000"/>
                <w:sz w:val="18"/>
                <w:szCs w:val="18"/>
                <w:lang w:eastAsia="en-US"/>
              </w:rPr>
            </w:pPr>
          </w:p>
          <w:p w:rsidR="00197AA0" w:rsidRDefault="00197AA0">
            <w:pPr>
              <w:spacing w:after="200" w:line="360" w:lineRule="auto"/>
              <w:ind w:right="44"/>
              <w:jc w:val="center"/>
              <w:rPr>
                <w:rFonts w:ascii="Arial" w:hAnsi="Arial" w:cs="Arial"/>
                <w:b/>
                <w:bCs/>
                <w:color w:val="000000"/>
                <w:sz w:val="18"/>
                <w:szCs w:val="18"/>
                <w:lang w:eastAsia="en-US"/>
              </w:rPr>
            </w:pPr>
            <w:r>
              <w:rPr>
                <w:rFonts w:ascii="Arial" w:hAnsi="Arial" w:cs="Arial"/>
                <w:b/>
                <w:bCs/>
                <w:color w:val="000000"/>
                <w:sz w:val="18"/>
                <w:szCs w:val="18"/>
              </w:rPr>
              <w:t>Buque</w:t>
            </w:r>
          </w:p>
        </w:tc>
        <w:tc>
          <w:tcPr>
            <w:tcW w:w="3303" w:type="dxa"/>
          </w:tcPr>
          <w:p w:rsidR="00197AA0" w:rsidRDefault="00197AA0">
            <w:pPr>
              <w:autoSpaceDE w:val="0"/>
              <w:snapToGrid w:val="0"/>
              <w:spacing w:line="360" w:lineRule="auto"/>
              <w:ind w:right="44"/>
              <w:jc w:val="center"/>
              <w:rPr>
                <w:rFonts w:ascii="Arial" w:hAnsi="Arial" w:cs="Arial"/>
                <w:b/>
                <w:bCs/>
                <w:color w:val="000000"/>
                <w:sz w:val="18"/>
                <w:szCs w:val="18"/>
                <w:lang w:eastAsia="en-US"/>
              </w:rPr>
            </w:pPr>
          </w:p>
          <w:p w:rsidR="00197AA0" w:rsidRDefault="00197AA0">
            <w:pPr>
              <w:autoSpaceDE w:val="0"/>
              <w:spacing w:line="360" w:lineRule="auto"/>
              <w:ind w:right="44"/>
              <w:jc w:val="center"/>
              <w:rPr>
                <w:rFonts w:ascii="Arial" w:hAnsi="Arial" w:cs="Arial"/>
                <w:b/>
                <w:bCs/>
                <w:color w:val="000000"/>
                <w:sz w:val="18"/>
                <w:szCs w:val="18"/>
              </w:rPr>
            </w:pPr>
            <w:r>
              <w:rPr>
                <w:rFonts w:ascii="Arial" w:hAnsi="Arial" w:cs="Arial"/>
                <w:b/>
                <w:bCs/>
                <w:color w:val="000000"/>
                <w:sz w:val="18"/>
                <w:szCs w:val="18"/>
              </w:rPr>
              <w:t>Contaminantes</w:t>
            </w:r>
          </w:p>
          <w:p w:rsidR="00197AA0" w:rsidRDefault="00197AA0">
            <w:pPr>
              <w:spacing w:after="200" w:line="360" w:lineRule="auto"/>
              <w:ind w:right="44"/>
              <w:jc w:val="center"/>
              <w:rPr>
                <w:rFonts w:ascii="Arial" w:hAnsi="Arial" w:cs="Arial"/>
                <w:color w:val="0D0D0D"/>
                <w:sz w:val="18"/>
                <w:szCs w:val="18"/>
                <w:lang w:eastAsia="en-US"/>
              </w:rPr>
            </w:pPr>
          </w:p>
        </w:tc>
      </w:tr>
      <w:tr w:rsidR="00197AA0" w:rsidTr="00232C32">
        <w:trPr>
          <w:trHeight w:val="1275"/>
        </w:trPr>
        <w:tc>
          <w:tcPr>
            <w:tcW w:w="2940" w:type="dxa"/>
          </w:tcPr>
          <w:p w:rsidR="00197AA0" w:rsidRDefault="00197AA0">
            <w:pPr>
              <w:autoSpaceDE w:val="0"/>
              <w:snapToGrid w:val="0"/>
              <w:spacing w:line="360" w:lineRule="auto"/>
              <w:ind w:right="44"/>
              <w:rPr>
                <w:rFonts w:ascii="Arial" w:hAnsi="Arial" w:cs="Arial"/>
                <w:sz w:val="18"/>
                <w:szCs w:val="18"/>
                <w:lang w:eastAsia="en-US"/>
              </w:rPr>
            </w:pPr>
            <w:r>
              <w:rPr>
                <w:rFonts w:ascii="Arial" w:hAnsi="Arial" w:cs="Arial"/>
                <w:b/>
                <w:sz w:val="18"/>
                <w:szCs w:val="18"/>
              </w:rPr>
              <w:t>Lugar:</w:t>
            </w:r>
            <w:r>
              <w:rPr>
                <w:rFonts w:ascii="Arial" w:hAnsi="Arial" w:cs="Arial"/>
                <w:sz w:val="18"/>
                <w:szCs w:val="18"/>
              </w:rPr>
              <w:t xml:space="preserve"> Alaska, EE.UU. </w:t>
            </w:r>
          </w:p>
          <w:p w:rsidR="00197AA0" w:rsidRDefault="00197AA0">
            <w:pPr>
              <w:autoSpaceDE w:val="0"/>
              <w:spacing w:after="200" w:line="360" w:lineRule="auto"/>
              <w:ind w:right="44"/>
              <w:rPr>
                <w:rFonts w:ascii="Arial" w:hAnsi="Arial" w:cs="Arial"/>
                <w:sz w:val="18"/>
                <w:szCs w:val="18"/>
                <w:lang w:eastAsia="en-US"/>
              </w:rPr>
            </w:pPr>
            <w:r>
              <w:rPr>
                <w:rFonts w:ascii="Arial" w:hAnsi="Arial" w:cs="Arial"/>
                <w:b/>
                <w:sz w:val="18"/>
                <w:szCs w:val="18"/>
              </w:rPr>
              <w:t>Fecha:</w:t>
            </w:r>
            <w:r>
              <w:rPr>
                <w:rFonts w:ascii="Arial" w:hAnsi="Arial" w:cs="Arial"/>
                <w:sz w:val="18"/>
                <w:szCs w:val="18"/>
              </w:rPr>
              <w:t xml:space="preserve"> 24 de marzo de 1989.</w:t>
            </w:r>
          </w:p>
        </w:tc>
        <w:tc>
          <w:tcPr>
            <w:tcW w:w="2922" w:type="dxa"/>
          </w:tcPr>
          <w:p w:rsidR="00197AA0" w:rsidRDefault="00197AA0">
            <w:pPr>
              <w:snapToGrid w:val="0"/>
              <w:spacing w:line="360" w:lineRule="auto"/>
              <w:ind w:right="44"/>
              <w:rPr>
                <w:rFonts w:ascii="Arial" w:hAnsi="Arial" w:cs="Arial"/>
                <w:sz w:val="18"/>
                <w:szCs w:val="18"/>
                <w:lang w:eastAsia="en-US"/>
              </w:rPr>
            </w:pPr>
            <w:r>
              <w:rPr>
                <w:rFonts w:ascii="Arial" w:hAnsi="Arial" w:cs="Arial"/>
                <w:b/>
                <w:sz w:val="18"/>
                <w:szCs w:val="18"/>
              </w:rPr>
              <w:t>Tipo:</w:t>
            </w:r>
            <w:r>
              <w:rPr>
                <w:rFonts w:ascii="Arial" w:hAnsi="Arial" w:cs="Arial"/>
                <w:sz w:val="18"/>
                <w:szCs w:val="18"/>
              </w:rPr>
              <w:t xml:space="preserve"> Petrolero casco sencillo.</w:t>
            </w:r>
          </w:p>
          <w:p w:rsidR="00197AA0" w:rsidRDefault="00197AA0">
            <w:pPr>
              <w:spacing w:line="360" w:lineRule="auto"/>
              <w:ind w:right="44"/>
              <w:rPr>
                <w:rFonts w:ascii="Arial" w:hAnsi="Arial" w:cs="Arial"/>
                <w:sz w:val="18"/>
                <w:szCs w:val="18"/>
              </w:rPr>
            </w:pPr>
            <w:r>
              <w:rPr>
                <w:rFonts w:ascii="Arial" w:hAnsi="Arial" w:cs="Arial"/>
                <w:b/>
                <w:sz w:val="18"/>
                <w:szCs w:val="18"/>
              </w:rPr>
              <w:t>Construido:</w:t>
            </w:r>
            <w:r>
              <w:rPr>
                <w:rFonts w:ascii="Arial" w:hAnsi="Arial" w:cs="Arial"/>
                <w:sz w:val="18"/>
                <w:szCs w:val="18"/>
              </w:rPr>
              <w:t xml:space="preserve"> 1986.</w:t>
            </w:r>
          </w:p>
          <w:p w:rsidR="00197AA0" w:rsidRDefault="00197AA0">
            <w:pPr>
              <w:spacing w:line="360" w:lineRule="auto"/>
              <w:ind w:right="44"/>
              <w:rPr>
                <w:rFonts w:ascii="Arial" w:hAnsi="Arial" w:cs="Arial"/>
                <w:sz w:val="18"/>
                <w:szCs w:val="18"/>
              </w:rPr>
            </w:pPr>
            <w:r>
              <w:rPr>
                <w:rFonts w:ascii="Arial" w:hAnsi="Arial" w:cs="Arial"/>
                <w:b/>
                <w:sz w:val="18"/>
                <w:szCs w:val="18"/>
              </w:rPr>
              <w:t>Longitud:</w:t>
            </w:r>
            <w:r>
              <w:rPr>
                <w:rFonts w:ascii="Arial" w:hAnsi="Arial" w:cs="Arial"/>
                <w:sz w:val="18"/>
                <w:szCs w:val="18"/>
              </w:rPr>
              <w:t xml:space="preserve"> 300 metros de largo.</w:t>
            </w:r>
          </w:p>
          <w:p w:rsidR="00197AA0" w:rsidRDefault="00197AA0">
            <w:pPr>
              <w:spacing w:line="360" w:lineRule="auto"/>
              <w:ind w:right="44"/>
              <w:rPr>
                <w:rFonts w:ascii="Arial" w:hAnsi="Arial" w:cs="Arial"/>
                <w:b/>
                <w:sz w:val="18"/>
                <w:szCs w:val="18"/>
              </w:rPr>
            </w:pPr>
            <w:r>
              <w:rPr>
                <w:rFonts w:ascii="Arial" w:hAnsi="Arial" w:cs="Arial"/>
                <w:b/>
                <w:sz w:val="18"/>
                <w:szCs w:val="18"/>
              </w:rPr>
              <w:t xml:space="preserve">Peso: </w:t>
            </w:r>
            <w:r>
              <w:rPr>
                <w:rFonts w:ascii="Arial" w:hAnsi="Arial" w:cs="Arial"/>
                <w:sz w:val="18"/>
                <w:szCs w:val="18"/>
              </w:rPr>
              <w:t>280,000.</w:t>
            </w:r>
          </w:p>
          <w:p w:rsidR="00197AA0" w:rsidRDefault="00197AA0">
            <w:pPr>
              <w:spacing w:line="360" w:lineRule="auto"/>
              <w:ind w:right="44"/>
              <w:rPr>
                <w:rFonts w:ascii="Arial" w:hAnsi="Arial" w:cs="Arial"/>
                <w:sz w:val="18"/>
                <w:szCs w:val="18"/>
              </w:rPr>
            </w:pPr>
            <w:r>
              <w:rPr>
                <w:rFonts w:ascii="Arial" w:hAnsi="Arial" w:cs="Arial"/>
                <w:b/>
                <w:sz w:val="18"/>
                <w:szCs w:val="18"/>
              </w:rPr>
              <w:t>Bandera:</w:t>
            </w:r>
            <w:r>
              <w:rPr>
                <w:rFonts w:ascii="Arial" w:hAnsi="Arial" w:cs="Arial"/>
                <w:sz w:val="18"/>
                <w:szCs w:val="18"/>
              </w:rPr>
              <w:t xml:space="preserve"> EE.UU.</w:t>
            </w:r>
          </w:p>
          <w:p w:rsidR="00197AA0" w:rsidRDefault="00197AA0">
            <w:pPr>
              <w:spacing w:after="200" w:line="360" w:lineRule="auto"/>
              <w:ind w:right="44"/>
              <w:rPr>
                <w:rFonts w:ascii="Arial" w:hAnsi="Arial" w:cs="Arial"/>
                <w:color w:val="000000"/>
                <w:sz w:val="18"/>
                <w:szCs w:val="18"/>
                <w:lang w:eastAsia="en-US"/>
              </w:rPr>
            </w:pPr>
            <w:r>
              <w:rPr>
                <w:rFonts w:ascii="Arial" w:hAnsi="Arial" w:cs="Arial"/>
                <w:b/>
                <w:color w:val="000000"/>
                <w:sz w:val="18"/>
                <w:szCs w:val="18"/>
              </w:rPr>
              <w:t>Capitán:</w:t>
            </w:r>
            <w:r>
              <w:rPr>
                <w:rFonts w:ascii="Arial" w:hAnsi="Arial" w:cs="Arial"/>
                <w:color w:val="000000"/>
                <w:sz w:val="18"/>
                <w:szCs w:val="18"/>
              </w:rPr>
              <w:t xml:space="preserve"> Joseph Hazelwood.</w:t>
            </w:r>
          </w:p>
        </w:tc>
        <w:tc>
          <w:tcPr>
            <w:tcW w:w="3303" w:type="dxa"/>
          </w:tcPr>
          <w:p w:rsidR="00197AA0" w:rsidRDefault="00197AA0">
            <w:pPr>
              <w:autoSpaceDE w:val="0"/>
              <w:snapToGrid w:val="0"/>
              <w:spacing w:line="360" w:lineRule="auto"/>
              <w:ind w:right="44"/>
              <w:rPr>
                <w:rFonts w:ascii="Arial" w:hAnsi="Arial" w:cs="Arial"/>
                <w:b/>
                <w:sz w:val="18"/>
                <w:szCs w:val="18"/>
                <w:lang w:eastAsia="en-US"/>
              </w:rPr>
            </w:pPr>
            <w:r>
              <w:rPr>
                <w:rFonts w:ascii="Arial" w:hAnsi="Arial" w:cs="Arial"/>
                <w:b/>
                <w:sz w:val="18"/>
                <w:szCs w:val="18"/>
              </w:rPr>
              <w:t>Vertido (toneladas):</w:t>
            </w:r>
          </w:p>
          <w:p w:rsidR="00197AA0" w:rsidRDefault="00197AA0">
            <w:pPr>
              <w:autoSpaceDE w:val="0"/>
              <w:spacing w:line="360" w:lineRule="auto"/>
              <w:ind w:right="44"/>
              <w:rPr>
                <w:rFonts w:ascii="Arial" w:hAnsi="Arial" w:cs="Arial"/>
                <w:sz w:val="18"/>
                <w:szCs w:val="18"/>
              </w:rPr>
            </w:pPr>
            <w:r>
              <w:rPr>
                <w:rFonts w:ascii="Arial" w:hAnsi="Arial" w:cs="Arial"/>
                <w:sz w:val="18"/>
                <w:szCs w:val="18"/>
              </w:rPr>
              <w:t xml:space="preserve">37,000. </w:t>
            </w:r>
          </w:p>
          <w:p w:rsidR="00197AA0" w:rsidRDefault="00197AA0">
            <w:pPr>
              <w:autoSpaceDE w:val="0"/>
              <w:spacing w:line="360" w:lineRule="auto"/>
              <w:ind w:right="44"/>
              <w:rPr>
                <w:rFonts w:ascii="Arial" w:hAnsi="Arial" w:cs="Arial"/>
                <w:sz w:val="18"/>
                <w:szCs w:val="18"/>
              </w:rPr>
            </w:pPr>
            <w:r>
              <w:rPr>
                <w:rFonts w:ascii="Arial" w:hAnsi="Arial" w:cs="Arial"/>
                <w:b/>
                <w:sz w:val="18"/>
                <w:szCs w:val="18"/>
              </w:rPr>
              <w:t xml:space="preserve">Tipo: </w:t>
            </w:r>
            <w:r>
              <w:rPr>
                <w:rFonts w:ascii="Arial" w:hAnsi="Arial" w:cs="Arial"/>
                <w:sz w:val="18"/>
                <w:szCs w:val="18"/>
              </w:rPr>
              <w:t>Crudo de la bahía de</w:t>
            </w:r>
            <w:r>
              <w:rPr>
                <w:rFonts w:ascii="Arial" w:hAnsi="Arial" w:cs="Arial"/>
                <w:b/>
                <w:sz w:val="18"/>
                <w:szCs w:val="18"/>
              </w:rPr>
              <w:t xml:space="preserve"> </w:t>
            </w:r>
            <w:r>
              <w:rPr>
                <w:rFonts w:ascii="Arial" w:hAnsi="Arial" w:cs="Arial"/>
                <w:sz w:val="18"/>
                <w:szCs w:val="18"/>
              </w:rPr>
              <w:t>Prudhoe, Alaska.</w:t>
            </w:r>
          </w:p>
          <w:p w:rsidR="00197AA0" w:rsidRDefault="00197AA0">
            <w:pPr>
              <w:autoSpaceDE w:val="0"/>
              <w:spacing w:line="360" w:lineRule="auto"/>
              <w:ind w:right="44"/>
              <w:rPr>
                <w:rFonts w:ascii="Arial" w:hAnsi="Arial" w:cs="Arial"/>
                <w:sz w:val="18"/>
                <w:szCs w:val="18"/>
              </w:rPr>
            </w:pPr>
          </w:p>
          <w:p w:rsidR="00197AA0" w:rsidRDefault="00197AA0">
            <w:pPr>
              <w:spacing w:after="200" w:line="360" w:lineRule="auto"/>
              <w:ind w:right="44"/>
              <w:rPr>
                <w:rFonts w:ascii="Arial" w:hAnsi="Arial" w:cs="Arial"/>
                <w:sz w:val="18"/>
                <w:szCs w:val="18"/>
                <w:lang w:eastAsia="en-US"/>
              </w:rPr>
            </w:pPr>
          </w:p>
        </w:tc>
      </w:tr>
    </w:tbl>
    <w:p w:rsidR="00197AA0" w:rsidRDefault="00197AA0" w:rsidP="00232C32">
      <w:pPr>
        <w:spacing w:line="360" w:lineRule="auto"/>
        <w:ind w:right="44"/>
        <w:jc w:val="both"/>
        <w:rPr>
          <w:rFonts w:ascii="Arial" w:hAnsi="Arial" w:cs="Arial"/>
          <w:sz w:val="18"/>
          <w:szCs w:val="18"/>
          <w:lang w:eastAsia="en-US"/>
        </w:rPr>
      </w:pPr>
      <w:r>
        <w:rPr>
          <w:rFonts w:ascii="Arial" w:hAnsi="Arial" w:cs="Arial"/>
          <w:iCs/>
          <w:sz w:val="18"/>
          <w:szCs w:val="18"/>
        </w:rPr>
        <w:t>Fuente:</w:t>
      </w:r>
      <w:r>
        <w:rPr>
          <w:rFonts w:ascii="Arial" w:hAnsi="Arial" w:cs="Arial"/>
          <w:sz w:val="18"/>
          <w:szCs w:val="18"/>
        </w:rPr>
        <w:t>http://www.mpr.es/NR/rdonlyres/86A56CA7- DB440E637DED/79698/AccidentesSignificativos1.pd</w:t>
      </w:r>
    </w:p>
    <w:p w:rsidR="00197AA0" w:rsidRPr="00816BCE"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rPr>
        <w:pict>
          <v:shape id="_x0000_s1058" type="#_x0000_t202" style="position:absolute;left:0;text-align:left;margin-left:228.45pt;margin-top:415.7pt;width:31.8pt;height:21pt;z-index:251684864;mso-height-percent:200;mso-height-percent:200;mso-width-relative:margin;mso-height-relative:margin" fillcolor="white [3212]" stroked="f">
            <v:textbox style="mso-next-textbox:#_x0000_s1058;mso-fit-shape-to-text:t">
              <w:txbxContent>
                <w:p w:rsidR="00AC7D7B" w:rsidRDefault="00AC7D7B" w:rsidP="00E825BB">
                  <w:r>
                    <w:t>11</w:t>
                  </w:r>
                </w:p>
              </w:txbxContent>
            </v:textbox>
          </v:shape>
        </w:pict>
      </w:r>
      <w:r w:rsidR="00197AA0" w:rsidRPr="00816BCE">
        <w:rPr>
          <w:rFonts w:ascii="Arial" w:hAnsi="Arial" w:cs="Arial"/>
          <w:sz w:val="22"/>
          <w:szCs w:val="22"/>
        </w:rPr>
        <w:t xml:space="preserve">Haciendo una breve cronología se puede mencionar que, la embarcación partió desde Alaska a las 9:12 p.m. del 23 de marzo 1989 con destino a </w:t>
      </w:r>
      <w:hyperlink r:id="rId22" w:tooltip="Long Beach, California" w:history="1">
        <w:r w:rsidR="00197AA0" w:rsidRPr="00816BCE">
          <w:rPr>
            <w:rStyle w:val="Hipervnculo"/>
            <w:rFonts w:ascii="Arial" w:hAnsi="Arial" w:cs="Arial"/>
            <w:color w:val="auto"/>
            <w:sz w:val="22"/>
            <w:szCs w:val="22"/>
            <w:u w:val="none"/>
          </w:rPr>
          <w:t>California</w:t>
        </w:r>
      </w:hyperlink>
      <w:r w:rsidR="00197AA0" w:rsidRPr="00816BCE">
        <w:rPr>
          <w:rFonts w:ascii="Arial" w:hAnsi="Arial" w:cs="Arial"/>
          <w:sz w:val="22"/>
          <w:szCs w:val="22"/>
        </w:rPr>
        <w:t xml:space="preserve">. </w:t>
      </w:r>
      <w:r w:rsidR="00197AA0" w:rsidRPr="00816BCE">
        <w:rPr>
          <w:rStyle w:val="google-src-text1"/>
          <w:rFonts w:ascii="Arial" w:hAnsi="Arial" w:cs="Arial"/>
          <w:sz w:val="22"/>
          <w:szCs w:val="22"/>
        </w:rPr>
        <w:t xml:space="preserve">A </w:t>
      </w:r>
      <w:hyperlink r:id="rId23" w:tooltip="Piloto portuario" w:history="1">
        <w:r w:rsidR="00197AA0" w:rsidRPr="00816BCE">
          <w:rPr>
            <w:rStyle w:val="Hipervnculo"/>
            <w:rFonts w:ascii="Arial" w:hAnsi="Arial" w:cs="Arial"/>
            <w:vanish/>
            <w:color w:val="auto"/>
            <w:sz w:val="22"/>
            <w:szCs w:val="22"/>
            <w:u w:val="none"/>
          </w:rPr>
          <w:t>harbor pilot</w:t>
        </w:r>
      </w:hyperlink>
      <w:r w:rsidR="00197AA0" w:rsidRPr="00816BCE">
        <w:rPr>
          <w:rStyle w:val="google-src-text1"/>
          <w:rFonts w:ascii="Arial" w:hAnsi="Arial" w:cs="Arial"/>
          <w:sz w:val="22"/>
          <w:szCs w:val="22"/>
        </w:rPr>
        <w:t xml:space="preserve"> guided the ship through the Valdez Narrows before leaving the ship and returning control to </w:t>
      </w:r>
      <w:hyperlink r:id="rId24" w:tooltip="Joseph Hazelwood" w:history="1">
        <w:r w:rsidR="00197AA0" w:rsidRPr="00816BCE">
          <w:rPr>
            <w:rStyle w:val="Hipervnculo"/>
            <w:rFonts w:ascii="Arial" w:hAnsi="Arial" w:cs="Arial"/>
            <w:vanish/>
            <w:color w:val="auto"/>
            <w:sz w:val="22"/>
            <w:szCs w:val="22"/>
            <w:u w:val="none"/>
          </w:rPr>
          <w:t>Joseph Jeffrey Hazelwood</w:t>
        </w:r>
      </w:hyperlink>
      <w:r w:rsidR="00197AA0" w:rsidRPr="00816BCE">
        <w:rPr>
          <w:rStyle w:val="google-src-text1"/>
          <w:rFonts w:ascii="Arial" w:hAnsi="Arial" w:cs="Arial"/>
          <w:sz w:val="22"/>
          <w:szCs w:val="22"/>
        </w:rPr>
        <w:t xml:space="preserve"> , the </w:t>
      </w:r>
      <w:hyperlink r:id="rId25" w:tooltip="Capitán (náutica)" w:history="1">
        <w:r w:rsidR="00197AA0" w:rsidRPr="00816BCE">
          <w:rPr>
            <w:rStyle w:val="Hipervnculo"/>
            <w:rFonts w:ascii="Arial" w:hAnsi="Arial" w:cs="Arial"/>
            <w:vanish/>
            <w:color w:val="auto"/>
            <w:sz w:val="22"/>
            <w:szCs w:val="22"/>
            <w:u w:val="none"/>
          </w:rPr>
          <w:t>ship's master</w:t>
        </w:r>
      </w:hyperlink>
      <w:r w:rsidR="00197AA0" w:rsidRPr="00816BCE">
        <w:rPr>
          <w:rStyle w:val="google-src-text1"/>
          <w:rFonts w:ascii="Arial" w:hAnsi="Arial" w:cs="Arial"/>
          <w:sz w:val="22"/>
          <w:szCs w:val="22"/>
        </w:rPr>
        <w:t xml:space="preserve"> .The ship maneuvered out of the shipping lane to avoid icebergs.</w:t>
      </w:r>
      <w:r w:rsidR="00197AA0" w:rsidRPr="00816BCE">
        <w:rPr>
          <w:rFonts w:ascii="Arial" w:hAnsi="Arial" w:cs="Arial"/>
          <w:sz w:val="22"/>
          <w:szCs w:val="22"/>
        </w:rPr>
        <w:t xml:space="preserve">Teniendo dificultades de navegación, dicho buque maniobró fuera de la ruta para evitar los icebergs que impedían su paso. Posteriormente de realizar dicha maniobra y poco después de las 11:00 p.m., el capitán a cargo </w:t>
      </w:r>
      <w:hyperlink r:id="rId26" w:tooltip="Joseph Hazelwood" w:history="1">
        <w:r w:rsidR="00197AA0" w:rsidRPr="00816BCE">
          <w:rPr>
            <w:rStyle w:val="Hipervnculo"/>
            <w:rFonts w:ascii="Arial" w:hAnsi="Arial" w:cs="Arial"/>
            <w:color w:val="auto"/>
            <w:sz w:val="22"/>
            <w:szCs w:val="22"/>
            <w:u w:val="none"/>
          </w:rPr>
          <w:t>Jeffrey Joseph Hazelwood</w:t>
        </w:r>
      </w:hyperlink>
      <w:r w:rsidR="00197AA0" w:rsidRPr="00816BCE">
        <w:rPr>
          <w:rFonts w:ascii="Arial" w:hAnsi="Arial" w:cs="Arial"/>
          <w:sz w:val="22"/>
          <w:szCs w:val="22"/>
          <w:lang w:val="es-MX"/>
        </w:rPr>
        <w:t xml:space="preserve"> dejó el puente de mando a su tercer oficial en cubierta  y a otro oficial el timón, sin embargo estos no habían tenido el descanso obligatorio de seis horas. La embarcación navegaba en piloto automático y</w:t>
      </w:r>
      <w:r w:rsidR="00197AA0" w:rsidRPr="00816BCE">
        <w:rPr>
          <w:rStyle w:val="google-src-text1"/>
          <w:rFonts w:ascii="Arial" w:hAnsi="Arial" w:cs="Arial"/>
          <w:sz w:val="22"/>
          <w:szCs w:val="22"/>
        </w:rPr>
        <w:t xml:space="preserve">Following the maneuver and sometime after 11 pm, he left </w:t>
      </w:r>
      <w:hyperlink r:id="rId27" w:tooltip="En tercer lugar Mate" w:history="1">
        <w:r w:rsidR="00197AA0" w:rsidRPr="00816BCE">
          <w:rPr>
            <w:rStyle w:val="Hipervnculo"/>
            <w:rFonts w:ascii="Arial" w:hAnsi="Arial" w:cs="Arial"/>
            <w:vanish/>
            <w:color w:val="auto"/>
            <w:sz w:val="22"/>
            <w:szCs w:val="22"/>
            <w:u w:val="none"/>
          </w:rPr>
          <w:t>Third Mate</w:t>
        </w:r>
      </w:hyperlink>
      <w:r w:rsidR="00197AA0" w:rsidRPr="00816BCE">
        <w:rPr>
          <w:rStyle w:val="google-src-text1"/>
          <w:rFonts w:ascii="Arial" w:hAnsi="Arial" w:cs="Arial"/>
          <w:sz w:val="22"/>
          <w:szCs w:val="22"/>
        </w:rPr>
        <w:t xml:space="preserve"> </w:t>
      </w:r>
      <w:hyperlink r:id="rId28" w:tooltip="Gregory Primos" w:history="1">
        <w:r w:rsidR="00197AA0" w:rsidRPr="00816BCE">
          <w:rPr>
            <w:rStyle w:val="Hipervnculo"/>
            <w:rFonts w:ascii="Arial" w:hAnsi="Arial" w:cs="Arial"/>
            <w:vanish/>
            <w:color w:val="auto"/>
            <w:sz w:val="22"/>
            <w:szCs w:val="22"/>
            <w:u w:val="none"/>
          </w:rPr>
          <w:t>Gregory Cousins</w:t>
        </w:r>
      </w:hyperlink>
      <w:r w:rsidR="00197AA0" w:rsidRPr="00816BCE">
        <w:rPr>
          <w:rStyle w:val="google-src-text1"/>
          <w:rFonts w:ascii="Arial" w:hAnsi="Arial" w:cs="Arial"/>
          <w:sz w:val="22"/>
          <w:szCs w:val="22"/>
        </w:rPr>
        <w:t xml:space="preserve"> in charge of the wheel house and </w:t>
      </w:r>
      <w:hyperlink r:id="rId29" w:tooltip="Capaz Seaman (ocupación)" w:history="1">
        <w:r w:rsidR="00197AA0" w:rsidRPr="00816BCE">
          <w:rPr>
            <w:rStyle w:val="Hipervnculo"/>
            <w:rFonts w:ascii="Arial" w:hAnsi="Arial" w:cs="Arial"/>
            <w:vanish/>
            <w:color w:val="auto"/>
            <w:sz w:val="22"/>
            <w:szCs w:val="22"/>
            <w:u w:val="none"/>
          </w:rPr>
          <w:t>Able Seaman</w:t>
        </w:r>
      </w:hyperlink>
      <w:r w:rsidR="00197AA0" w:rsidRPr="00816BCE">
        <w:rPr>
          <w:rStyle w:val="google-src-text1"/>
          <w:rFonts w:ascii="Arial" w:hAnsi="Arial" w:cs="Arial"/>
          <w:sz w:val="22"/>
          <w:szCs w:val="22"/>
        </w:rPr>
        <w:t xml:space="preserve"> Robert Kagan at the helm, both of whom were not given their mandatory 6 hours off duty before their 12-hour duty began.</w:t>
      </w:r>
      <w:r w:rsidR="00197AA0" w:rsidRPr="00816BCE">
        <w:rPr>
          <w:rFonts w:ascii="Arial" w:hAnsi="Arial" w:cs="Arial"/>
          <w:sz w:val="22"/>
          <w:szCs w:val="22"/>
        </w:rPr>
        <w:t xml:space="preserve"> </w:t>
      </w:r>
      <w:r w:rsidR="00197AA0" w:rsidRPr="00816BCE">
        <w:rPr>
          <w:rStyle w:val="google-src-text1"/>
          <w:rFonts w:ascii="Arial" w:hAnsi="Arial" w:cs="Arial"/>
          <w:sz w:val="22"/>
          <w:szCs w:val="22"/>
        </w:rPr>
        <w:t xml:space="preserve">The outbound shipping lane was covered with icebergs so the ship's captain, Hazelwood, got permission from the </w:t>
      </w:r>
      <w:hyperlink r:id="rId30" w:tooltip="Guardacostas de los Estados Unidos" w:history="1">
        <w:r w:rsidR="00197AA0" w:rsidRPr="00816BCE">
          <w:rPr>
            <w:rStyle w:val="Hipervnculo"/>
            <w:rFonts w:ascii="Arial" w:hAnsi="Arial" w:cs="Arial"/>
            <w:vanish/>
            <w:color w:val="auto"/>
            <w:sz w:val="22"/>
            <w:szCs w:val="22"/>
            <w:u w:val="none"/>
          </w:rPr>
          <w:t>Coast Guard</w:t>
        </w:r>
      </w:hyperlink>
      <w:r w:rsidR="00197AA0" w:rsidRPr="00816BCE">
        <w:rPr>
          <w:rStyle w:val="google-src-text1"/>
          <w:rFonts w:ascii="Arial" w:hAnsi="Arial" w:cs="Arial"/>
          <w:sz w:val="22"/>
          <w:szCs w:val="22"/>
        </w:rPr>
        <w:t xml:space="preserve"> to go out through the inbound lane.</w:t>
      </w:r>
      <w:r w:rsidR="00197AA0" w:rsidRPr="00816BCE">
        <w:rPr>
          <w:rFonts w:ascii="Arial" w:hAnsi="Arial" w:cs="Arial"/>
          <w:sz w:val="22"/>
          <w:szCs w:val="22"/>
        </w:rPr>
        <w:t xml:space="preserve">la ruta de navegación de salida estaba cubierta de témpanos de hielo, el capitán del buque, consiguió el permiso de la </w:t>
      </w:r>
      <w:hyperlink r:id="rId31" w:tooltip="Guardacostas de los Estados Unidos" w:history="1">
        <w:r w:rsidR="00197AA0" w:rsidRPr="00816BCE">
          <w:rPr>
            <w:rStyle w:val="Hipervnculo"/>
            <w:rFonts w:ascii="Arial" w:hAnsi="Arial" w:cs="Arial"/>
            <w:color w:val="auto"/>
            <w:sz w:val="22"/>
            <w:szCs w:val="22"/>
            <w:u w:val="none"/>
          </w:rPr>
          <w:t>guardia costera</w:t>
        </w:r>
      </w:hyperlink>
      <w:r w:rsidR="00197AA0" w:rsidRPr="00816BCE">
        <w:rPr>
          <w:rFonts w:ascii="Arial" w:hAnsi="Arial" w:cs="Arial"/>
          <w:sz w:val="22"/>
          <w:szCs w:val="22"/>
        </w:rPr>
        <w:t xml:space="preserve"> para salir por el carril de entrada. </w:t>
      </w:r>
      <w:r w:rsidR="00197AA0" w:rsidRPr="00816BCE">
        <w:rPr>
          <w:rStyle w:val="google-src-text1"/>
          <w:rFonts w:ascii="Arial" w:hAnsi="Arial" w:cs="Arial"/>
          <w:sz w:val="22"/>
          <w:szCs w:val="22"/>
        </w:rPr>
        <w:t xml:space="preserve">The ship struck </w:t>
      </w:r>
      <w:hyperlink r:id="rId32" w:tooltip="Arrecife Bligh" w:history="1">
        <w:r w:rsidR="00197AA0" w:rsidRPr="00816BCE">
          <w:rPr>
            <w:rStyle w:val="Hipervnculo"/>
            <w:rFonts w:ascii="Arial" w:hAnsi="Arial" w:cs="Arial"/>
            <w:vanish/>
            <w:color w:val="auto"/>
            <w:sz w:val="22"/>
            <w:szCs w:val="22"/>
            <w:u w:val="none"/>
          </w:rPr>
          <w:t>Bligh Reef</w:t>
        </w:r>
      </w:hyperlink>
      <w:r w:rsidR="00197AA0" w:rsidRPr="00816BCE">
        <w:rPr>
          <w:rStyle w:val="google-src-text1"/>
          <w:rFonts w:ascii="Arial" w:hAnsi="Arial" w:cs="Arial"/>
          <w:sz w:val="22"/>
          <w:szCs w:val="22"/>
        </w:rPr>
        <w:t xml:space="preserve"> at around 12:04 am March 24, 1989. </w:t>
      </w:r>
      <w:hyperlink r:id="rId33" w:anchor="cite_note-faq-1" w:history="1">
        <w:r w:rsidR="00197AA0" w:rsidRPr="00816BCE">
          <w:rPr>
            <w:rStyle w:val="Hipervnculo"/>
            <w:rFonts w:ascii="Arial" w:hAnsi="Arial" w:cs="Arial"/>
            <w:vanish/>
            <w:color w:val="auto"/>
            <w:sz w:val="22"/>
            <w:szCs w:val="22"/>
            <w:u w:val="none"/>
            <w:vertAlign w:val="superscript"/>
          </w:rPr>
          <w:t>[ 2 ]</w:t>
        </w:r>
      </w:hyperlink>
      <w:r w:rsidR="00197AA0" w:rsidRPr="00816BCE">
        <w:rPr>
          <w:rFonts w:ascii="Arial" w:hAnsi="Arial" w:cs="Arial"/>
          <w:sz w:val="22"/>
          <w:szCs w:val="22"/>
        </w:rPr>
        <w:t xml:space="preserve"> El barco chocó contra </w:t>
      </w:r>
      <w:hyperlink r:id="rId34" w:tooltip="Arrecife Bligh" w:history="1">
        <w:r w:rsidR="00197AA0" w:rsidRPr="00816BCE">
          <w:rPr>
            <w:rStyle w:val="Hipervnculo"/>
            <w:rFonts w:ascii="Arial" w:hAnsi="Arial" w:cs="Arial"/>
            <w:color w:val="auto"/>
            <w:sz w:val="22"/>
            <w:szCs w:val="22"/>
            <w:u w:val="none"/>
          </w:rPr>
          <w:t>Bligh</w:t>
        </w:r>
      </w:hyperlink>
      <w:r w:rsidR="00197AA0" w:rsidRPr="00816BCE">
        <w:rPr>
          <w:rFonts w:ascii="Arial" w:hAnsi="Arial" w:cs="Arial"/>
          <w:sz w:val="22"/>
          <w:szCs w:val="22"/>
        </w:rPr>
        <w:t xml:space="preserve"> Reef en torno a las 12:04 am, madrugada del día 24 de marzo 1989</w:t>
      </w:r>
      <w:r w:rsidR="00197AA0" w:rsidRPr="00816BCE">
        <w:rPr>
          <w:rStyle w:val="Refdenotaalpie"/>
          <w:rFonts w:ascii="Arial" w:hAnsi="Arial" w:cs="Arial"/>
          <w:sz w:val="22"/>
          <w:szCs w:val="22"/>
        </w:rPr>
        <w:footnoteReference w:customMarkFollows="1" w:id="38"/>
        <w:sym w:font="Symbol" w:char="F02A"/>
      </w:r>
      <w:r w:rsidR="00197AA0" w:rsidRPr="00816BCE">
        <w:rPr>
          <w:rFonts w:ascii="Arial" w:hAnsi="Arial" w:cs="Arial"/>
          <w:sz w:val="22"/>
          <w:szCs w:val="22"/>
        </w:rPr>
        <w:t xml:space="preserve">. Derramando a su paso 54,1 millones de galones de petróleo crudo de los cuales 10,9 millones de galones se habían vertido en Prince William Sound. Cabe señalar que, ésta </w:t>
      </w:r>
      <w:r w:rsidR="00197AA0" w:rsidRPr="00816BCE">
        <w:rPr>
          <w:rFonts w:ascii="Arial" w:hAnsi="Arial" w:cs="Arial"/>
          <w:sz w:val="22"/>
          <w:szCs w:val="22"/>
        </w:rPr>
        <w:lastRenderedPageBreak/>
        <w:t>cifra ha sido aceptada por la empresa Exxon Mobil en Alaska Valdez Oil Spill Consejo Fiduciario</w:t>
      </w:r>
      <w:r w:rsidR="00197AA0" w:rsidRPr="00816BCE">
        <w:rPr>
          <w:rStyle w:val="Refdenotaalpie"/>
          <w:rFonts w:ascii="Arial" w:hAnsi="Arial" w:cs="Arial"/>
          <w:sz w:val="22"/>
          <w:szCs w:val="22"/>
        </w:rPr>
        <w:footnoteReference w:customMarkFollows="1" w:id="39"/>
        <w:sym w:font="Symbol" w:char="F02A"/>
      </w:r>
      <w:r w:rsidR="00197AA0" w:rsidRPr="00816BCE">
        <w:rPr>
          <w:rFonts w:ascii="Arial" w:hAnsi="Arial" w:cs="Arial"/>
          <w:sz w:val="22"/>
          <w:szCs w:val="22"/>
        </w:rPr>
        <w:t>.</w:t>
      </w:r>
    </w:p>
    <w:p w:rsidR="00197AA0" w:rsidRPr="00816BCE" w:rsidRDefault="00197AA0" w:rsidP="00232C32">
      <w:pPr>
        <w:shd w:val="clear" w:color="auto" w:fill="FFFFFF"/>
        <w:spacing w:after="207" w:line="360" w:lineRule="auto"/>
        <w:ind w:right="44" w:firstLine="567"/>
        <w:jc w:val="both"/>
        <w:rPr>
          <w:rFonts w:ascii="Arial" w:hAnsi="Arial" w:cs="Arial"/>
          <w:sz w:val="22"/>
          <w:szCs w:val="22"/>
        </w:rPr>
      </w:pPr>
      <w:r w:rsidRPr="00816BCE">
        <w:rPr>
          <w:rFonts w:ascii="Arial" w:hAnsi="Arial" w:cs="Arial"/>
          <w:sz w:val="22"/>
          <w:szCs w:val="22"/>
        </w:rPr>
        <w:t xml:space="preserve">Por otro lado a partir de finales de la década de los setentas se empieza a generar un mayor interés en la creación de normas sobre seguridad marítima, la mayoría de convenios internacionales que hicieron posible el cumplimiento de normas mínimas de seguridad tanto en cuestiones de salubridad como en medios técnicos. Las medidas durante esta época no fueron suficientes para luchar contra los </w:t>
      </w:r>
      <w:hyperlink r:id="rId35" w:anchor="PLANT" w:history="1">
        <w:r w:rsidRPr="00816BCE">
          <w:rPr>
            <w:rStyle w:val="Hipervnculo"/>
            <w:rFonts w:ascii="Arial" w:hAnsi="Arial" w:cs="Arial"/>
            <w:color w:val="auto"/>
            <w:sz w:val="22"/>
            <w:szCs w:val="22"/>
            <w:u w:val="none"/>
          </w:rPr>
          <w:t>problemas</w:t>
        </w:r>
      </w:hyperlink>
      <w:r w:rsidRPr="00816BCE">
        <w:rPr>
          <w:rFonts w:ascii="Arial" w:hAnsi="Arial" w:cs="Arial"/>
          <w:sz w:val="22"/>
          <w:szCs w:val="22"/>
        </w:rPr>
        <w:t xml:space="preserve"> de navegación de los buques. Por su parte en Europa, para la época de los noventas se produce un </w:t>
      </w:r>
      <w:hyperlink r:id="rId36" w:history="1">
        <w:r w:rsidRPr="00816BCE">
          <w:rPr>
            <w:rStyle w:val="Hipervnculo"/>
            <w:rFonts w:ascii="Arial" w:hAnsi="Arial" w:cs="Arial"/>
            <w:color w:val="auto"/>
            <w:sz w:val="22"/>
            <w:szCs w:val="22"/>
            <w:u w:val="none"/>
          </w:rPr>
          <w:t>cambio</w:t>
        </w:r>
      </w:hyperlink>
      <w:r w:rsidRPr="00816BCE">
        <w:rPr>
          <w:rFonts w:ascii="Arial" w:hAnsi="Arial" w:cs="Arial"/>
          <w:sz w:val="22"/>
          <w:szCs w:val="22"/>
        </w:rPr>
        <w:t xml:space="preserve"> notable en la </w:t>
      </w:r>
      <w:hyperlink r:id="rId37" w:history="1">
        <w:r w:rsidRPr="00816BCE">
          <w:rPr>
            <w:rStyle w:val="Hipervnculo"/>
            <w:rFonts w:ascii="Arial" w:hAnsi="Arial" w:cs="Arial"/>
            <w:color w:val="auto"/>
            <w:sz w:val="22"/>
            <w:szCs w:val="22"/>
            <w:u w:val="none"/>
          </w:rPr>
          <w:t>política</w:t>
        </w:r>
      </w:hyperlink>
      <w:r w:rsidRPr="00816BCE">
        <w:rPr>
          <w:rFonts w:ascii="Arial" w:hAnsi="Arial" w:cs="Arial"/>
          <w:sz w:val="22"/>
          <w:szCs w:val="22"/>
        </w:rPr>
        <w:t xml:space="preserve"> europea de seguridad marítima.</w:t>
      </w:r>
    </w:p>
    <w:p w:rsidR="00197AA0" w:rsidRPr="00816BCE" w:rsidRDefault="00197AA0" w:rsidP="00232C32">
      <w:pPr>
        <w:shd w:val="clear" w:color="auto" w:fill="FFFFFF"/>
        <w:spacing w:after="207" w:line="360" w:lineRule="auto"/>
        <w:ind w:right="44" w:firstLine="567"/>
        <w:jc w:val="both"/>
        <w:rPr>
          <w:rFonts w:ascii="Arial" w:hAnsi="Arial" w:cs="Arial"/>
          <w:sz w:val="22"/>
          <w:szCs w:val="22"/>
        </w:rPr>
      </w:pPr>
      <w:r w:rsidRPr="00816BCE">
        <w:rPr>
          <w:rFonts w:ascii="Arial" w:hAnsi="Arial" w:cs="Arial"/>
          <w:sz w:val="22"/>
          <w:szCs w:val="22"/>
        </w:rPr>
        <w:t xml:space="preserve"> La </w:t>
      </w:r>
      <w:hyperlink r:id="rId38" w:history="1">
        <w:r w:rsidRPr="00816BCE">
          <w:rPr>
            <w:rStyle w:val="Hipervnculo"/>
            <w:rFonts w:ascii="Arial" w:hAnsi="Arial" w:cs="Arial"/>
            <w:color w:val="auto"/>
            <w:sz w:val="22"/>
            <w:szCs w:val="22"/>
            <w:u w:val="none"/>
          </w:rPr>
          <w:t>Unión Europea</w:t>
        </w:r>
      </w:hyperlink>
      <w:r w:rsidRPr="00816BCE">
        <w:rPr>
          <w:rFonts w:ascii="Arial" w:hAnsi="Arial" w:cs="Arial"/>
          <w:sz w:val="22"/>
          <w:szCs w:val="22"/>
        </w:rPr>
        <w:t xml:space="preserve"> comienza así a desarrollar y aplicar las normas internacionales sobre buques y su infraestructura, formación de </w:t>
      </w:r>
      <w:hyperlink r:id="rId39" w:history="1">
        <w:r w:rsidRPr="00816BCE">
          <w:rPr>
            <w:rStyle w:val="Hipervnculo"/>
            <w:rFonts w:ascii="Arial" w:hAnsi="Arial" w:cs="Arial"/>
            <w:color w:val="auto"/>
            <w:sz w:val="22"/>
            <w:szCs w:val="22"/>
            <w:u w:val="none"/>
          </w:rPr>
          <w:t>personal</w:t>
        </w:r>
      </w:hyperlink>
      <w:r w:rsidRPr="00816BCE">
        <w:rPr>
          <w:rFonts w:ascii="Arial" w:hAnsi="Arial" w:cs="Arial"/>
          <w:sz w:val="22"/>
          <w:szCs w:val="22"/>
        </w:rPr>
        <w:t xml:space="preserve"> y </w:t>
      </w:r>
      <w:hyperlink r:id="rId40" w:history="1">
        <w:r w:rsidRPr="00816BCE">
          <w:rPr>
            <w:rStyle w:val="Hipervnculo"/>
            <w:rFonts w:ascii="Arial" w:hAnsi="Arial" w:cs="Arial"/>
            <w:color w:val="auto"/>
            <w:sz w:val="22"/>
            <w:szCs w:val="22"/>
            <w:u w:val="none"/>
          </w:rPr>
          <w:t>servicios</w:t>
        </w:r>
      </w:hyperlink>
      <w:r w:rsidRPr="00816BCE">
        <w:rPr>
          <w:rFonts w:ascii="Arial" w:hAnsi="Arial" w:cs="Arial"/>
          <w:sz w:val="22"/>
          <w:szCs w:val="22"/>
        </w:rPr>
        <w:t xml:space="preserve"> de emergencia. La normativa comunitaria se centra fundamentalmente en la inspección de buques y en el transporte marítimo de mercancías peligrosas. Sin embargo la causa fundamental del creciente </w:t>
      </w:r>
      <w:hyperlink r:id="rId41" w:history="1">
        <w:r w:rsidRPr="00816BCE">
          <w:rPr>
            <w:rStyle w:val="Hipervnculo"/>
            <w:rFonts w:ascii="Arial" w:hAnsi="Arial" w:cs="Arial"/>
            <w:color w:val="auto"/>
            <w:sz w:val="22"/>
            <w:szCs w:val="22"/>
            <w:u w:val="none"/>
          </w:rPr>
          <w:t>interés</w:t>
        </w:r>
      </w:hyperlink>
      <w:r w:rsidRPr="00816BCE">
        <w:rPr>
          <w:rFonts w:ascii="Arial" w:hAnsi="Arial" w:cs="Arial"/>
          <w:sz w:val="22"/>
          <w:szCs w:val="22"/>
        </w:rPr>
        <w:t xml:space="preserve"> sobre la seguridad marítima radica en los accidentes producidos en los últimos años como la catástrofe del Exxon Valdez en </w:t>
      </w:r>
      <w:hyperlink r:id="rId42" w:history="1">
        <w:r w:rsidRPr="00816BCE">
          <w:rPr>
            <w:rStyle w:val="Hipervnculo"/>
            <w:rFonts w:ascii="Arial" w:hAnsi="Arial" w:cs="Arial"/>
            <w:color w:val="auto"/>
            <w:sz w:val="22"/>
            <w:szCs w:val="22"/>
            <w:u w:val="none"/>
          </w:rPr>
          <w:t>Estados Unidos</w:t>
        </w:r>
      </w:hyperlink>
      <w:r w:rsidRPr="00816BCE">
        <w:rPr>
          <w:rFonts w:ascii="Arial" w:hAnsi="Arial" w:cs="Arial"/>
          <w:sz w:val="22"/>
          <w:szCs w:val="22"/>
        </w:rPr>
        <w:t xml:space="preserve"> en 1989, el hundimiento del pabellón maltés Erika en las costas francesas en 1999 y el desastre del Prestige en Galicia en 2002. A raíz de estos hechos se ha generado una mayor preocupación por evitar casos de contaminación en los espacios marítimos.</w:t>
      </w: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59" type="#_x0000_t202" style="position:absolute;left:0;text-align:left;margin-left:171pt;margin-top:279.55pt;width:31.8pt;height:21pt;z-index:251685888;mso-height-percent:200;mso-height-percent:200;mso-width-relative:margin;mso-height-relative:margin" fillcolor="white [3212]" stroked="f">
            <v:textbox style="mso-next-textbox:#_x0000_s1059;mso-fit-shape-to-text:t">
              <w:txbxContent>
                <w:p w:rsidR="00AC7D7B" w:rsidRDefault="00AC7D7B" w:rsidP="00E825BB">
                  <w:r>
                    <w:t>12</w:t>
                  </w:r>
                </w:p>
              </w:txbxContent>
            </v:textbox>
          </v:shape>
        </w:pict>
      </w:r>
      <w:r w:rsidR="00197AA0" w:rsidRPr="00816BCE">
        <w:rPr>
          <w:rFonts w:ascii="Arial" w:hAnsi="Arial" w:cs="Arial"/>
          <w:sz w:val="22"/>
          <w:szCs w:val="22"/>
        </w:rPr>
        <w:t xml:space="preserve">Específicamente para el caso de Exxon Valdez; dado que la zona afectada, Alaska,  pertenece a Estados Unidos este país ha intensificado su labor preventiva, a través de la OMI, exige la construcción de buques de navegación con doble casco (como medida obligatoria), una barrera de separación doble a lo largo de toda la longitud de carga entre los tanques y el mar, ya que la distancia entre ambas garantiza que en caso de choque, la interior no sufra rompimientos y el crudo no se vierta al agua evitando en gran medida la contaminación por hidrocarburos en los espacios marítimos internacionales; también conocida como la ley de contaminación por hidrocarburos de 1990, Oil Pollution Act (OPA). Mediante la cual impusieron unilateralmente exigencias de doble casco tanto a los nuevos petroleros como a los existentes por medio de límites de antigüedad (a partir de </w:t>
      </w:r>
      <w:r w:rsidR="00197AA0" w:rsidRPr="00816BCE">
        <w:rPr>
          <w:rFonts w:ascii="Arial" w:hAnsi="Arial" w:cs="Arial"/>
          <w:sz w:val="22"/>
          <w:szCs w:val="22"/>
        </w:rPr>
        <w:lastRenderedPageBreak/>
        <w:t>2005 entre 23 y 30 años) y plazos (2010 y 2015) para la retirada de los petroleros de casco único</w:t>
      </w:r>
      <w:r w:rsidR="00197AA0" w:rsidRPr="00816BCE">
        <w:rPr>
          <w:rStyle w:val="Refdenotaalpie"/>
          <w:rFonts w:ascii="Arial" w:hAnsi="Arial" w:cs="Arial"/>
          <w:sz w:val="22"/>
          <w:szCs w:val="22"/>
        </w:rPr>
        <w:footnoteReference w:id="40"/>
      </w:r>
      <w:r w:rsidR="00197AA0" w:rsidRPr="00816BCE">
        <w:rPr>
          <w:rFonts w:ascii="Arial" w:hAnsi="Arial" w:cs="Arial"/>
          <w:sz w:val="22"/>
          <w:szCs w:val="22"/>
        </w:rPr>
        <w:t xml:space="preserve">. </w:t>
      </w:r>
    </w:p>
    <w:p w:rsidR="00197AA0" w:rsidRPr="00816BC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Ante la medida unilateral de los estadounidenses, la Organización Marítima Internacional, adoptó medidas y estableció en 1992 normas en materia de doble casco en el convenio MARPOL. Este convenio exige que todos los petroleros sin excepción, con peso mayor de 600 toneladas entregadas a partir de julio de 1996 tengan doble casco obligatoriamente</w:t>
      </w:r>
      <w:r w:rsidRPr="00816BCE">
        <w:rPr>
          <w:rStyle w:val="Refdenotaalpie"/>
          <w:rFonts w:ascii="Arial" w:hAnsi="Arial" w:cs="Arial"/>
          <w:sz w:val="22"/>
          <w:szCs w:val="22"/>
        </w:rPr>
        <w:footnoteReference w:customMarkFollows="1" w:id="41"/>
        <w:sym w:font="Symbol" w:char="F02A"/>
      </w:r>
      <w:r w:rsidRPr="00816BCE">
        <w:rPr>
          <w:rFonts w:ascii="Arial" w:hAnsi="Arial" w:cs="Arial"/>
          <w:sz w:val="22"/>
          <w:szCs w:val="22"/>
        </w:rPr>
        <w:t>.</w:t>
      </w:r>
    </w:p>
    <w:p w:rsidR="00197AA0" w:rsidRPr="00816BC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En el mismo orden de ideas, a causa de la catástrofe del Exxon Valdez, también se creó el Convenio Internacional sobre Cooperación, Preparación y Lucha contra la Contaminación por Hidrocarburos, (OPRC) de 1990 Su objetivo principal es proporcionar un marco mundial para la cooperación internacional en la lucha contra sucesos importantes o amenazas de contaminación en el mar, debido a derrames de hidrocarburos.</w:t>
      </w:r>
    </w:p>
    <w:p w:rsidR="00197AA0" w:rsidRPr="00816BC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Como antecedente a tal disposición, en julio de 1989 se celebró en París una conferencia de naciones industriales que instó a la OMI a elaborar nuevas medidas con miras a prevenir la contaminación por los buques. Este llamamiento fue refrendado por la asamblea de la OMI a finales de ese mismo año, dándose comienzo así a los trabajos para redactar un proyecto de convenio; el  OPRC de 1990.</w:t>
      </w:r>
    </w:p>
    <w:p w:rsidR="00197AA0" w:rsidRPr="00816BCE"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60" type="#_x0000_t202" style="position:absolute;left:0;text-align:left;margin-left:219.95pt;margin-top:252.5pt;width:31.8pt;height:21pt;z-index:251686912;mso-height-percent:200;mso-height-percent:200;mso-width-relative:margin;mso-height-relative:margin" fillcolor="white [3212]" stroked="f">
            <v:textbox style="mso-next-textbox:#_x0000_s1060;mso-fit-shape-to-text:t">
              <w:txbxContent>
                <w:p w:rsidR="00AC7D7B" w:rsidRDefault="00AC7D7B" w:rsidP="00E825BB">
                  <w:r>
                    <w:t>13</w:t>
                  </w:r>
                </w:p>
              </w:txbxContent>
            </v:textbox>
          </v:shape>
        </w:pict>
      </w:r>
      <w:r w:rsidR="00197AA0" w:rsidRPr="00816BCE">
        <w:rPr>
          <w:rFonts w:ascii="Arial" w:hAnsi="Arial" w:cs="Arial"/>
          <w:sz w:val="22"/>
          <w:szCs w:val="22"/>
        </w:rPr>
        <w:t xml:space="preserve">La finalidad de tal convenio es proporcionar un marco mundial para la cooperación internacional en la lucha contra sucesos importantes o amenazas de contaminación del mar. Las partes en el convenio deberán adoptar medidas para hacer frente a sucesos de contaminación, bien en el ámbito nacional o en cooperación con otros países. Los buques deberán llevar a bordo un plan de emergencia en caso de contaminación por hidrocarburos, cuyo contenido será formulado por la OMI. Las empresas explotadoras de unidades mar adentro que operen bajo la jurisdicción de las partes también deberán disponer de planes de emergencia en caso de contaminación por hidrocarburos u otros </w:t>
      </w:r>
      <w:r w:rsidR="00197AA0" w:rsidRPr="00816BCE">
        <w:rPr>
          <w:rFonts w:ascii="Arial" w:hAnsi="Arial" w:cs="Arial"/>
          <w:sz w:val="22"/>
          <w:szCs w:val="22"/>
        </w:rPr>
        <w:lastRenderedPageBreak/>
        <w:t>medios similares, coordinados con los sistemas nacionales para responder rápida y eficazmente a los sucesos de contaminación por hidrocarburos.</w:t>
      </w:r>
    </w:p>
    <w:p w:rsidR="00197AA0" w:rsidRPr="00816BC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Los buques estarán obligados a notificar los sucesos de contaminación a las autoridades ribereñas, y el convenio estipula detalladamente las medidas que deberán adoptarse. Dicho convenio estipula el almacenamiento de equipo de lucha contra los derrames de hidrocarburos, los ejercicios necesarios y el desarrollo de planes pormenorizados para hacer frente a los sucesos de contaminación. Se exige a las partes en el convenio que faciliten asistencia a otras, en casos de emergencia de contaminación, y se ha previsto lo necesario para resarcir la asistencia prestada.</w:t>
      </w:r>
    </w:p>
    <w:p w:rsidR="00197AA0" w:rsidRPr="00816BCE" w:rsidRDefault="00197AA0" w:rsidP="00232C32">
      <w:pPr>
        <w:spacing w:line="360" w:lineRule="auto"/>
        <w:ind w:right="44" w:firstLine="567"/>
        <w:jc w:val="both"/>
        <w:rPr>
          <w:rFonts w:ascii="Arial" w:hAnsi="Arial" w:cs="Arial"/>
          <w:sz w:val="22"/>
          <w:szCs w:val="22"/>
        </w:rPr>
      </w:pPr>
    </w:p>
    <w:p w:rsidR="00197AA0" w:rsidRPr="00816BCE" w:rsidRDefault="00197AA0" w:rsidP="00232C32">
      <w:pPr>
        <w:autoSpaceDE w:val="0"/>
        <w:autoSpaceDN w:val="0"/>
        <w:adjustRightInd w:val="0"/>
        <w:spacing w:line="360" w:lineRule="auto"/>
        <w:ind w:right="44" w:firstLine="567"/>
        <w:jc w:val="both"/>
        <w:rPr>
          <w:rFonts w:ascii="Arial" w:hAnsi="Arial" w:cs="Arial"/>
          <w:i/>
          <w:sz w:val="22"/>
          <w:szCs w:val="22"/>
        </w:rPr>
      </w:pPr>
      <w:r w:rsidRPr="00816BCE">
        <w:rPr>
          <w:rFonts w:ascii="Arial" w:hAnsi="Arial" w:cs="Arial"/>
          <w:sz w:val="22"/>
          <w:szCs w:val="22"/>
        </w:rPr>
        <w:t xml:space="preserve">En igual forma, se da para el año de 1991 el Protocolo de Madrid, Tratado sobre la Protección del Medio Ambiente. Básicamente lo que busca es la protección del medioambiente en la zona Antártica así como también sus ecosistemas dependientes y asociados, teniendo como propósito asegurar que las actividades humanas, inclusive el turismo, no tengan repercusiones adversas en el medio ambiente antártico ni en sus valores estéticos y científicos. </w:t>
      </w:r>
    </w:p>
    <w:p w:rsidR="00197AA0" w:rsidRPr="00816BCE" w:rsidRDefault="00197AA0" w:rsidP="00232C32">
      <w:pPr>
        <w:autoSpaceDE w:val="0"/>
        <w:autoSpaceDN w:val="0"/>
        <w:adjustRightInd w:val="0"/>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Cabe destacar que para el año de 1992 y posteriores a las normativas referidas con anterioridad, se dieron dos enmiendas muy importantes al Convenio Internacional sobre la Constitución de un Fondo Internacional de Indemnización de Daños Debidos a Contaminación por Hidrocarburos, 1971, mediante dos protocolos que proporcionaron límites más altos y un ámbito de aplicación mejorado. Los convenios enmendados, que entraron en vigor el 30 de mayo de 1996, se conocen como el Convenio de Responsabilidad Civil de 1992 y el Convenio del FONDO de 1992.</w:t>
      </w:r>
    </w:p>
    <w:p w:rsidR="00197AA0" w:rsidRPr="00816BCE"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61" type="#_x0000_t202" style="position:absolute;left:0;text-align:left;margin-left:189.3pt;margin-top:180.45pt;width:31.8pt;height:21pt;z-index:251687936;mso-height-percent:200;mso-height-percent:200;mso-width-relative:margin;mso-height-relative:margin" fillcolor="white [3212]" stroked="f">
            <v:textbox style="mso-next-textbox:#_x0000_s1061;mso-fit-shape-to-text:t">
              <w:txbxContent>
                <w:p w:rsidR="00AC7D7B" w:rsidRDefault="00AC7D7B" w:rsidP="00E825BB">
                  <w:r>
                    <w:t>14</w:t>
                  </w:r>
                </w:p>
              </w:txbxContent>
            </v:textbox>
          </v:shape>
        </w:pict>
      </w:r>
      <w:r w:rsidR="00197AA0" w:rsidRPr="00816BCE">
        <w:rPr>
          <w:rFonts w:ascii="Arial" w:hAnsi="Arial" w:cs="Arial"/>
          <w:sz w:val="22"/>
          <w:szCs w:val="22"/>
        </w:rPr>
        <w:t>El primer protocolo se basa en el principio de responsabilidad objetiva. Esto implica que el armador del buque que derrama el hidrocarburo es el responsable independientemente de si fue o no culpable realmente, sujeto a muy pocas excepciones, este convenio cubre el daño por contaminación sufrido en el territorio o en el mar territorial o en la Zona Económica Exclusiva</w:t>
      </w:r>
      <w:r w:rsidR="00197AA0" w:rsidRPr="00816BCE">
        <w:rPr>
          <w:rStyle w:val="Refdenotaalpie"/>
          <w:rFonts w:ascii="Arial" w:hAnsi="Arial" w:cs="Arial"/>
          <w:sz w:val="22"/>
          <w:szCs w:val="22"/>
        </w:rPr>
        <w:footnoteReference w:customMarkFollows="1" w:id="42"/>
        <w:sym w:font="Symbol" w:char="F02A"/>
      </w:r>
      <w:r w:rsidR="00197AA0" w:rsidRPr="00816BCE">
        <w:rPr>
          <w:rFonts w:ascii="Arial" w:hAnsi="Arial" w:cs="Arial"/>
          <w:sz w:val="22"/>
          <w:szCs w:val="22"/>
        </w:rPr>
        <w:t xml:space="preserve"> (ZEE) o área equivalente de un Estado </w:t>
      </w:r>
      <w:r w:rsidR="00197AA0" w:rsidRPr="00816BCE">
        <w:rPr>
          <w:rFonts w:ascii="Arial" w:hAnsi="Arial" w:cs="Arial"/>
          <w:sz w:val="22"/>
          <w:szCs w:val="22"/>
        </w:rPr>
        <w:lastRenderedPageBreak/>
        <w:t>Parte del convenio. El Estado bandera del buque tanque y la nacionalidad del armador son irrelevantes a la hora de determinar el ámbito de aplicación. Dado que el Convenio de Responsabilidad Civil de 1992 cubre los derrames persistentes de cargas y de combustible (bunker) de buques tanque, aptos para la navegación marítima. El segundo protocolo el Fondo Internacional de Indemnización de Daños Debidos a la Contaminación por Hidrocarburos de 1992 (conocido como FONDO de 1992) tiene la responsabilidad de administrar el régimen de indemnización creado por el convenio del mismo. Al convertirse en Parte del Convenio del FONDO, un Estado se convierte automáticamente en Miembro del FONDO de 1992. No está de más decir que, no pagará indemnización si el daño se ha producido en un Estado que no es Miembro.</w:t>
      </w:r>
    </w:p>
    <w:p w:rsidR="00197AA0" w:rsidRPr="00816BC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 xml:space="preserve">Los hechos posteriores a la tragedia relacionado con los daños causados a las especies marinas fueron graves  por esta catástrofe; miles de animales murieron de inmediato, las estimaciones incluyen que de unas 100,000 a 250,000 </w:t>
      </w:r>
      <w:hyperlink r:id="rId43" w:tooltip="Ave marina" w:history="1">
        <w:r w:rsidRPr="00816BCE">
          <w:rPr>
            <w:rStyle w:val="Hipervnculo"/>
            <w:rFonts w:ascii="Arial" w:hAnsi="Arial" w:cs="Arial"/>
            <w:color w:val="auto"/>
            <w:sz w:val="22"/>
            <w:szCs w:val="22"/>
            <w:u w:val="none"/>
          </w:rPr>
          <w:t>aves marinas</w:t>
        </w:r>
      </w:hyperlink>
      <w:r w:rsidRPr="00816BCE">
        <w:rPr>
          <w:rFonts w:ascii="Arial" w:hAnsi="Arial" w:cs="Arial"/>
          <w:sz w:val="22"/>
          <w:szCs w:val="22"/>
        </w:rPr>
        <w:t xml:space="preserve"> perecieron, por lo menos 2,800 </w:t>
      </w:r>
      <w:hyperlink r:id="rId44" w:tooltip="Nutria de mar" w:history="1">
        <w:r w:rsidRPr="00816BCE">
          <w:rPr>
            <w:rStyle w:val="Hipervnculo"/>
            <w:rFonts w:ascii="Arial" w:hAnsi="Arial" w:cs="Arial"/>
            <w:color w:val="auto"/>
            <w:sz w:val="22"/>
            <w:szCs w:val="22"/>
            <w:u w:val="none"/>
          </w:rPr>
          <w:t>nutrias marinas</w:t>
        </w:r>
      </w:hyperlink>
      <w:r w:rsidRPr="00816BCE">
        <w:rPr>
          <w:rFonts w:ascii="Arial" w:hAnsi="Arial" w:cs="Arial"/>
          <w:sz w:val="22"/>
          <w:szCs w:val="22"/>
        </w:rPr>
        <w:t xml:space="preserve">, aproximadamente 12 </w:t>
      </w:r>
      <w:hyperlink r:id="rId45" w:tooltip="América del Norte Nutria" w:history="1">
        <w:r w:rsidRPr="00816BCE">
          <w:rPr>
            <w:rStyle w:val="Hipervnculo"/>
            <w:rFonts w:ascii="Arial" w:hAnsi="Arial" w:cs="Arial"/>
            <w:color w:val="auto"/>
            <w:sz w:val="22"/>
            <w:szCs w:val="22"/>
            <w:u w:val="none"/>
          </w:rPr>
          <w:t>nutrias de río</w:t>
        </w:r>
      </w:hyperlink>
      <w:r w:rsidRPr="00816BCE">
        <w:rPr>
          <w:rFonts w:ascii="Arial" w:hAnsi="Arial" w:cs="Arial"/>
          <w:sz w:val="22"/>
          <w:szCs w:val="22"/>
        </w:rPr>
        <w:t xml:space="preserve">, 300 </w:t>
      </w:r>
      <w:hyperlink r:id="rId46" w:tooltip="Sello Común" w:history="1">
        <w:r w:rsidRPr="00816BCE">
          <w:rPr>
            <w:rStyle w:val="Hipervnculo"/>
            <w:rFonts w:ascii="Arial" w:hAnsi="Arial" w:cs="Arial"/>
            <w:color w:val="auto"/>
            <w:sz w:val="22"/>
            <w:szCs w:val="22"/>
            <w:u w:val="none"/>
          </w:rPr>
          <w:t>focas</w:t>
        </w:r>
      </w:hyperlink>
      <w:r w:rsidRPr="00816BCE">
        <w:rPr>
          <w:rFonts w:ascii="Arial" w:hAnsi="Arial" w:cs="Arial"/>
          <w:sz w:val="22"/>
          <w:szCs w:val="22"/>
        </w:rPr>
        <w:t xml:space="preserve">, 247 </w:t>
      </w:r>
      <w:hyperlink r:id="rId47" w:tooltip="Águila calva" w:history="1">
        <w:r w:rsidRPr="00816BCE">
          <w:rPr>
            <w:rStyle w:val="Hipervnculo"/>
            <w:rFonts w:ascii="Arial" w:hAnsi="Arial" w:cs="Arial"/>
            <w:color w:val="auto"/>
            <w:sz w:val="22"/>
            <w:szCs w:val="22"/>
            <w:u w:val="none"/>
          </w:rPr>
          <w:t>águilas calvas</w:t>
        </w:r>
      </w:hyperlink>
      <w:r w:rsidRPr="00816BCE">
        <w:rPr>
          <w:rFonts w:ascii="Arial" w:hAnsi="Arial" w:cs="Arial"/>
          <w:sz w:val="22"/>
          <w:szCs w:val="22"/>
        </w:rPr>
        <w:t xml:space="preserve"> y 22 </w:t>
      </w:r>
      <w:hyperlink r:id="rId48" w:tooltip="Orca" w:history="1">
        <w:r w:rsidRPr="00816BCE">
          <w:rPr>
            <w:rStyle w:val="Hipervnculo"/>
            <w:rFonts w:ascii="Arial" w:hAnsi="Arial" w:cs="Arial"/>
            <w:color w:val="auto"/>
            <w:sz w:val="22"/>
            <w:szCs w:val="22"/>
            <w:u w:val="none"/>
          </w:rPr>
          <w:t>orcas</w:t>
        </w:r>
      </w:hyperlink>
      <w:r w:rsidRPr="00816BCE">
        <w:rPr>
          <w:rFonts w:ascii="Arial" w:hAnsi="Arial" w:cs="Arial"/>
          <w:sz w:val="22"/>
          <w:szCs w:val="22"/>
        </w:rPr>
        <w:t xml:space="preserve">, así como la destrucción de miles de millones de </w:t>
      </w:r>
      <w:hyperlink r:id="rId49" w:tooltip="Salmón" w:history="1">
        <w:r w:rsidRPr="00816BCE">
          <w:rPr>
            <w:rStyle w:val="Hipervnculo"/>
            <w:rFonts w:ascii="Arial" w:hAnsi="Arial" w:cs="Arial"/>
            <w:color w:val="auto"/>
            <w:sz w:val="22"/>
            <w:szCs w:val="22"/>
            <w:u w:val="none"/>
          </w:rPr>
          <w:t>salmones</w:t>
        </w:r>
      </w:hyperlink>
      <w:r w:rsidRPr="00816BCE">
        <w:rPr>
          <w:rStyle w:val="Refdenotaalpie"/>
          <w:rFonts w:ascii="Arial" w:hAnsi="Arial" w:cs="Arial"/>
          <w:sz w:val="22"/>
          <w:szCs w:val="22"/>
        </w:rPr>
        <w:footnoteReference w:id="43"/>
      </w:r>
      <w:r w:rsidRPr="00816BCE">
        <w:rPr>
          <w:rFonts w:ascii="Arial" w:hAnsi="Arial" w:cs="Arial"/>
          <w:sz w:val="22"/>
          <w:szCs w:val="22"/>
        </w:rPr>
        <w:t xml:space="preserve">. Cabe destacar además que los efectos han persistido a lo largo de los años dado que las poblaciones de animales se han visto reducidas; el salmón rosado ha reducido en crecimiento poblacional, especies como la nutria marina y el pato han presentado una tasa de mortalidad mayor después de la catástrofe. Esto ha sucedido en gran medida al nivel de contaminación de los suelos y la presencia de residuos de hidrocarburos. </w:t>
      </w:r>
    </w:p>
    <w:p w:rsidR="00197AA0" w:rsidRPr="00816BCE"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62" type="#_x0000_t202" style="position:absolute;left:0;text-align:left;margin-left:215.1pt;margin-top:237.1pt;width:31.8pt;height:21pt;z-index:251688960;mso-height-percent:200;mso-height-percent:200;mso-width-relative:margin;mso-height-relative:margin" fillcolor="white [3212]" stroked="f">
            <v:textbox style="mso-next-textbox:#_x0000_s1062;mso-fit-shape-to-text:t">
              <w:txbxContent>
                <w:p w:rsidR="00AC7D7B" w:rsidRDefault="00AC7D7B" w:rsidP="00E825BB">
                  <w:r>
                    <w:t>15</w:t>
                  </w:r>
                </w:p>
              </w:txbxContent>
            </v:textbox>
          </v:shape>
        </w:pict>
      </w:r>
      <w:r w:rsidR="00197AA0" w:rsidRPr="00816BCE">
        <w:rPr>
          <w:rFonts w:ascii="Arial" w:hAnsi="Arial" w:cs="Arial"/>
          <w:sz w:val="22"/>
          <w:szCs w:val="22"/>
        </w:rPr>
        <w:t xml:space="preserve">Se realizó una labor conjunta, en las tareas de limpieza de la zona contaminada, en un primer momento Alyeska, Asociación que dicho sea de paso representaba a Exxon Mobil y a otras seis compañías, y Exxon asumió la responsabilidad de los hechos realizando tareas de limpieza. Junto con Alyeska trabajaron en coordinación tres organizaciones que brindaron ayuda de forma inmediata: Los especialistas de la </w:t>
      </w:r>
      <w:hyperlink r:id="rId50" w:tooltip="EPA" w:history="1">
        <w:r w:rsidR="00197AA0" w:rsidRPr="00816BCE">
          <w:rPr>
            <w:rStyle w:val="Hipervnculo"/>
            <w:rFonts w:ascii="Arial" w:hAnsi="Arial" w:cs="Arial"/>
            <w:color w:val="auto"/>
            <w:sz w:val="22"/>
            <w:szCs w:val="22"/>
            <w:u w:val="none"/>
          </w:rPr>
          <w:t>EPA</w:t>
        </w:r>
      </w:hyperlink>
      <w:r w:rsidR="00197AA0" w:rsidRPr="00816BCE">
        <w:rPr>
          <w:rFonts w:ascii="Arial" w:hAnsi="Arial" w:cs="Arial"/>
          <w:sz w:val="22"/>
          <w:szCs w:val="22"/>
        </w:rPr>
        <w:t xml:space="preserve"> (Agencia de Protección Ambiental de los Estados Unidos) en el uso de las tecnologías experimentales de </w:t>
      </w:r>
      <w:hyperlink r:id="rId51" w:tooltip="Biorremediación" w:history="1">
        <w:r w:rsidR="00197AA0" w:rsidRPr="00816BCE">
          <w:rPr>
            <w:rStyle w:val="Hipervnculo"/>
            <w:rFonts w:ascii="Arial" w:hAnsi="Arial" w:cs="Arial"/>
            <w:color w:val="auto"/>
            <w:sz w:val="22"/>
            <w:szCs w:val="22"/>
            <w:u w:val="none"/>
          </w:rPr>
          <w:t>biorremediación</w:t>
        </w:r>
      </w:hyperlink>
      <w:r w:rsidR="00197AA0" w:rsidRPr="00816BCE">
        <w:rPr>
          <w:rStyle w:val="Refdenotaalpie"/>
          <w:rFonts w:ascii="Arial" w:hAnsi="Arial" w:cs="Arial"/>
          <w:sz w:val="22"/>
          <w:szCs w:val="22"/>
        </w:rPr>
        <w:footnoteReference w:customMarkFollows="1" w:id="44"/>
        <w:sym w:font="Symbol" w:char="F02A"/>
      </w:r>
      <w:r w:rsidR="00197AA0" w:rsidRPr="00816BCE">
        <w:rPr>
          <w:rFonts w:ascii="Arial" w:hAnsi="Arial" w:cs="Arial"/>
          <w:sz w:val="22"/>
          <w:szCs w:val="22"/>
        </w:rPr>
        <w:t xml:space="preserve"> asistieron a la limpieza del derramamiento, La </w:t>
      </w:r>
      <w:hyperlink r:id="rId52" w:tooltip="NOAA" w:history="1">
        <w:r w:rsidR="00197AA0" w:rsidRPr="00816BCE">
          <w:rPr>
            <w:rStyle w:val="Hipervnculo"/>
            <w:rFonts w:ascii="Arial" w:hAnsi="Arial" w:cs="Arial"/>
            <w:color w:val="auto"/>
            <w:sz w:val="22"/>
            <w:szCs w:val="22"/>
            <w:u w:val="none"/>
          </w:rPr>
          <w:t>NOAA</w:t>
        </w:r>
      </w:hyperlink>
      <w:r w:rsidR="00197AA0" w:rsidRPr="00816BCE">
        <w:rPr>
          <w:rFonts w:ascii="Arial" w:hAnsi="Arial" w:cs="Arial"/>
          <w:sz w:val="22"/>
          <w:szCs w:val="22"/>
        </w:rPr>
        <w:t xml:space="preserve"> </w:t>
      </w:r>
      <w:r w:rsidR="00197AA0" w:rsidRPr="00816BCE">
        <w:rPr>
          <w:rFonts w:ascii="Arial" w:hAnsi="Arial" w:cs="Arial"/>
          <w:sz w:val="22"/>
          <w:szCs w:val="22"/>
        </w:rPr>
        <w:lastRenderedPageBreak/>
        <w:t xml:space="preserve">(Administración Nacional Oceánica y Atmosférica) estuvo implicada en el abastecimiento de los partes meteorológicos para Prince William Sound, y permitió que el equipo de limpieza adaptase sus métodos a las condiciones atmosféricas así como también los especialistas del </w:t>
      </w:r>
      <w:hyperlink r:id="rId53" w:tooltip="Instituto de Marina de Hubbs (aún no redactado)" w:history="1">
        <w:r w:rsidR="00197AA0" w:rsidRPr="00816BCE">
          <w:rPr>
            <w:rStyle w:val="Hipervnculo"/>
            <w:rFonts w:ascii="Arial" w:hAnsi="Arial" w:cs="Arial"/>
            <w:color w:val="auto"/>
            <w:sz w:val="22"/>
            <w:szCs w:val="22"/>
            <w:u w:val="none"/>
          </w:rPr>
          <w:t>Instituto de Marina de Hubbs</w:t>
        </w:r>
      </w:hyperlink>
      <w:r w:rsidR="00197AA0" w:rsidRPr="00816BCE">
        <w:rPr>
          <w:rFonts w:ascii="Arial" w:hAnsi="Arial" w:cs="Arial"/>
          <w:sz w:val="22"/>
          <w:szCs w:val="22"/>
        </w:rPr>
        <w:t xml:space="preserve"> en San Diego y el </w:t>
      </w:r>
      <w:hyperlink r:id="rId54" w:tooltip="Centro Internacional de Investigaciones sobre Aves (aún no redactado)" w:history="1">
        <w:r w:rsidR="00197AA0" w:rsidRPr="00816BCE">
          <w:rPr>
            <w:rStyle w:val="Hipervnculo"/>
            <w:rFonts w:ascii="Arial" w:hAnsi="Arial" w:cs="Arial"/>
            <w:color w:val="auto"/>
            <w:sz w:val="22"/>
            <w:szCs w:val="22"/>
            <w:u w:val="none"/>
          </w:rPr>
          <w:t>Centro Internacional de Investigaciones sobre Aves</w:t>
        </w:r>
      </w:hyperlink>
      <w:r w:rsidR="00197AA0" w:rsidRPr="00816BCE">
        <w:rPr>
          <w:rFonts w:ascii="Arial" w:hAnsi="Arial" w:cs="Arial"/>
          <w:sz w:val="22"/>
          <w:szCs w:val="22"/>
        </w:rPr>
        <w:t xml:space="preserve"> de </w:t>
      </w:r>
      <w:hyperlink r:id="rId55" w:tooltip="Berkeley" w:history="1">
        <w:r w:rsidR="00197AA0" w:rsidRPr="00816BCE">
          <w:rPr>
            <w:rStyle w:val="Hipervnculo"/>
            <w:rFonts w:ascii="Arial" w:hAnsi="Arial" w:cs="Arial"/>
            <w:color w:val="auto"/>
            <w:sz w:val="22"/>
            <w:szCs w:val="22"/>
            <w:u w:val="none"/>
          </w:rPr>
          <w:t>Berkeley</w:t>
        </w:r>
      </w:hyperlink>
      <w:r w:rsidR="00197AA0" w:rsidRPr="00816BCE">
        <w:rPr>
          <w:rFonts w:ascii="Arial" w:hAnsi="Arial" w:cs="Arial"/>
          <w:sz w:val="22"/>
          <w:szCs w:val="22"/>
        </w:rPr>
        <w:t xml:space="preserve"> (California), establecieron un centro para limpiar y rehabilitar aves acuáticas. Poco después se sumaron a la causa muchas agencias locales, estatales, federales y privadas y los grupos  de preservación del medio ambiente. </w:t>
      </w:r>
    </w:p>
    <w:p w:rsidR="00197AA0" w:rsidRPr="00816BCE" w:rsidRDefault="00197AA0" w:rsidP="00232C32">
      <w:pPr>
        <w:spacing w:line="360" w:lineRule="auto"/>
        <w:ind w:right="44" w:firstLine="567"/>
        <w:jc w:val="both"/>
        <w:rPr>
          <w:rFonts w:ascii="Arial" w:hAnsi="Arial" w:cs="Arial"/>
          <w:sz w:val="22"/>
          <w:szCs w:val="22"/>
        </w:rPr>
      </w:pPr>
    </w:p>
    <w:p w:rsidR="00197AA0" w:rsidRPr="00816BCE" w:rsidRDefault="00197AA0" w:rsidP="00232C32">
      <w:pPr>
        <w:shd w:val="clear" w:color="auto" w:fill="FFFFFF"/>
        <w:spacing w:after="207" w:line="360" w:lineRule="auto"/>
        <w:ind w:right="44" w:firstLine="567"/>
        <w:jc w:val="both"/>
        <w:rPr>
          <w:rFonts w:ascii="Arial" w:hAnsi="Arial" w:cs="Arial"/>
          <w:sz w:val="22"/>
          <w:szCs w:val="22"/>
        </w:rPr>
      </w:pPr>
      <w:r w:rsidRPr="00816BCE">
        <w:rPr>
          <w:rFonts w:ascii="Arial" w:hAnsi="Arial" w:cs="Arial"/>
          <w:sz w:val="22"/>
          <w:szCs w:val="22"/>
        </w:rPr>
        <w:t>La contaminación generada por este derrame ha persistido a lo largo de los años, un estudio realizado para marzo de 2009 por la revista Nature Geoscience, reveló que grandes cantidades de petróleo siguen debajo de las playas de Alaska, encontrándose a solo centímetros de la superficie se ha ido disipando hasta mil veces más lento que el de la superficie, la falta de oxígeno y nutrientes en la grava hace más lenta la dispersión del crudo remanente. En la misma línea de ideas un estudio realizado por la Universidad de Temple en Filadelfia, y dirigido por Michel Boudafel</w:t>
      </w:r>
      <w:r w:rsidRPr="00816BCE">
        <w:rPr>
          <w:rStyle w:val="Refdenotaalpie"/>
          <w:rFonts w:ascii="Arial" w:hAnsi="Arial" w:cs="Arial"/>
          <w:sz w:val="22"/>
          <w:szCs w:val="22"/>
        </w:rPr>
        <w:footnoteReference w:customMarkFollows="1" w:id="45"/>
        <w:sym w:font="Symbol" w:char="F02A"/>
      </w:r>
      <w:r w:rsidRPr="00816BCE">
        <w:rPr>
          <w:rStyle w:val="Refdenotaalpie"/>
          <w:rFonts w:ascii="Arial" w:hAnsi="Arial" w:cs="Arial"/>
          <w:sz w:val="22"/>
          <w:szCs w:val="22"/>
        </w:rPr>
        <w:t xml:space="preserve"> </w:t>
      </w:r>
      <w:r w:rsidRPr="00816BCE">
        <w:rPr>
          <w:rFonts w:ascii="Arial" w:hAnsi="Arial" w:cs="Arial"/>
          <w:sz w:val="22"/>
          <w:szCs w:val="22"/>
        </w:rPr>
        <w:t>reveló que el petróleo estaba desapareciendo a un ritmo de sólo 4 por ciento cada año y que un estimado de 20 mil galones se quedó en las playas.</w:t>
      </w:r>
    </w:p>
    <w:p w:rsidR="00197AA0" w:rsidRDefault="00197AA0" w:rsidP="009743F5">
      <w:pPr>
        <w:shd w:val="clear" w:color="auto" w:fill="FFFFFF"/>
        <w:spacing w:after="207" w:line="360" w:lineRule="auto"/>
        <w:ind w:right="44" w:firstLine="567"/>
        <w:jc w:val="both"/>
        <w:rPr>
          <w:rFonts w:ascii="Arial" w:hAnsi="Arial" w:cs="Arial"/>
          <w:sz w:val="22"/>
          <w:szCs w:val="22"/>
        </w:rPr>
      </w:pPr>
      <w:r w:rsidRPr="00816BCE">
        <w:rPr>
          <w:rFonts w:ascii="Arial" w:hAnsi="Arial" w:cs="Arial"/>
          <w:sz w:val="22"/>
          <w:szCs w:val="22"/>
        </w:rPr>
        <w:t xml:space="preserve"> Explica que dichas las playas de grava, es decir las de Alaska  están compuestas de dos capas: una de nivel superior que es muy permeable y un nivel inferior que tiene muy baja permeabilidad y que si bien las dos capas son del mismo material, el nivel inferior se ha contraído como consecuencia de movimientos de las mareas, limitando el volumen de agua de mar que puede penetrar en la grava lo que a su vez provoca que la capa superior almacene temporalmente el petróleo, mientras lenta y continuamente llene la capa inferior. Es decir que la contaminación generada por el buque Exxon Valdez ha perdurado a lo largo de los años y teniendo consecuencias irremediables para la vida marina.</w:t>
      </w:r>
    </w:p>
    <w:p w:rsidR="00197AA0" w:rsidRPr="00816BCE" w:rsidRDefault="001D7573" w:rsidP="009743F5">
      <w:pPr>
        <w:shd w:val="clear" w:color="auto" w:fill="FFFFFF"/>
        <w:spacing w:after="207" w:line="360" w:lineRule="auto"/>
        <w:ind w:right="44" w:firstLine="567"/>
        <w:jc w:val="both"/>
        <w:rPr>
          <w:rFonts w:ascii="Arial" w:hAnsi="Arial" w:cs="Arial"/>
          <w:sz w:val="22"/>
          <w:szCs w:val="22"/>
        </w:rPr>
      </w:pPr>
      <w:r>
        <w:rPr>
          <w:rFonts w:ascii="Arial" w:hAnsi="Arial" w:cs="Arial"/>
          <w:noProof/>
          <w:sz w:val="22"/>
          <w:szCs w:val="22"/>
        </w:rPr>
        <w:lastRenderedPageBreak/>
        <w:pict>
          <v:shape id="_x0000_s1063" type="#_x0000_t202" style="position:absolute;left:0;text-align:left;margin-left:201.4pt;margin-top:165.5pt;width:31.8pt;height:21pt;z-index:251689984;mso-height-percent:200;mso-height-percent:200;mso-width-relative:margin;mso-height-relative:margin" fillcolor="white [3212]" stroked="f">
            <v:textbox style="mso-next-textbox:#_x0000_s1063;mso-fit-shape-to-text:t">
              <w:txbxContent>
                <w:p w:rsidR="00AC7D7B" w:rsidRDefault="00AC7D7B" w:rsidP="00E825BB">
                  <w:r>
                    <w:t>16</w:t>
                  </w:r>
                </w:p>
              </w:txbxContent>
            </v:textbox>
          </v:shape>
        </w:pict>
      </w:r>
      <w:r w:rsidR="00197AA0" w:rsidRPr="00816BCE">
        <w:rPr>
          <w:rFonts w:ascii="Arial" w:hAnsi="Arial" w:cs="Arial"/>
          <w:sz w:val="22"/>
          <w:szCs w:val="22"/>
        </w:rPr>
        <w:t xml:space="preserve">En atención a todo lo dicho se puede decir que sin duda el accidente del Exxon Valdez es uno de los que más ha despertado el interés en la comunidad internacional tanto a nivel institucional como a nivel mediático al respecto cabe citar: </w:t>
      </w:r>
    </w:p>
    <w:p w:rsidR="00197AA0" w:rsidRDefault="00197AA0" w:rsidP="00232C32">
      <w:pPr>
        <w:spacing w:line="360" w:lineRule="auto"/>
        <w:ind w:left="708" w:right="44"/>
        <w:jc w:val="both"/>
        <w:rPr>
          <w:rFonts w:ascii="Arial" w:hAnsi="Arial" w:cs="Arial"/>
          <w:i/>
          <w:sz w:val="22"/>
          <w:szCs w:val="22"/>
        </w:rPr>
      </w:pPr>
      <w:r w:rsidRPr="00816BCE">
        <w:rPr>
          <w:rFonts w:ascii="Arial" w:hAnsi="Arial" w:cs="Arial"/>
          <w:i/>
          <w:sz w:val="22"/>
          <w:szCs w:val="22"/>
        </w:rPr>
        <w:t>Este desastre contaminó más de 1600 kilómetros de costa, causó la muerte por empetrolamiento de más de 3,500 nutrias y aproximadamente 35 mil aves. Fue considerado por Greenpeace como una de las catástrofes ecológicas más grandes de la historia ya que después de 10 años sólo dos especies silvestres se habían recuperado (El Clarín, 1999).</w:t>
      </w:r>
    </w:p>
    <w:p w:rsidR="00197AA0" w:rsidRPr="00816BCE" w:rsidRDefault="00197AA0" w:rsidP="00232C32">
      <w:pPr>
        <w:spacing w:line="360" w:lineRule="auto"/>
        <w:ind w:left="708" w:right="44"/>
        <w:jc w:val="both"/>
        <w:rPr>
          <w:rFonts w:ascii="Arial" w:hAnsi="Arial" w:cs="Arial"/>
          <w:i/>
          <w:sz w:val="22"/>
          <w:szCs w:val="22"/>
        </w:rPr>
      </w:pP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Las huellas del derrame llegaron a más de 2,000 kilómetros de costa, afectando recursos de pesca, refugios de animales salvajes y parques nacionales en una de las regiones con más recursos naturales de Estados Unidos, matando aves marinas, peces y mamíferos en uno de los principales hábitats marinos del mundo. Efectos que hasta hoy en día están presentes en la región de Alaska y que el mundo entero lo pudo televisar con incredulidad y asombro teniendo un impacto mediático sin precedentes hasta esa fecha y que hicieron posible la generación de la ayuda inmediata por parte de los responsables en la catástrofe, empero los estragos cabe resaltar que son irreversibles en el espacio marítimo, de ahí que lo que queda por hacer es evitar que estos sucesos acaezcan, por ello se ha hecho urgente la creación de Convenios Internacionales que han respondido a esas necesidades de alguna manera para poder sopesar los efectos negativos que sucedieron en la zona de Alaska.</w:t>
      </w:r>
    </w:p>
    <w:p w:rsidR="00197AA0" w:rsidRPr="00816BCE" w:rsidRDefault="00197AA0" w:rsidP="00232C32">
      <w:pPr>
        <w:spacing w:line="360" w:lineRule="auto"/>
        <w:ind w:right="44" w:firstLine="567"/>
        <w:jc w:val="both"/>
        <w:rPr>
          <w:rFonts w:ascii="Arial" w:hAnsi="Arial" w:cs="Arial"/>
          <w:sz w:val="22"/>
          <w:szCs w:val="22"/>
        </w:rPr>
      </w:pPr>
    </w:p>
    <w:p w:rsidR="00197AA0" w:rsidRPr="00816BCE"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 xml:space="preserve">Cuando se produjo el siniestro del </w:t>
      </w:r>
      <w:r w:rsidRPr="00816BCE">
        <w:rPr>
          <w:rFonts w:ascii="Arial" w:hAnsi="Arial" w:cs="Arial"/>
          <w:iCs/>
          <w:sz w:val="22"/>
          <w:szCs w:val="22"/>
        </w:rPr>
        <w:t xml:space="preserve">Exxon Valdez </w:t>
      </w:r>
      <w:r w:rsidRPr="00816BCE">
        <w:rPr>
          <w:rFonts w:ascii="Arial" w:hAnsi="Arial" w:cs="Arial"/>
          <w:sz w:val="22"/>
          <w:szCs w:val="22"/>
        </w:rPr>
        <w:t>en Alaska en marzo de 1989, la comunidad internacional asistió con asombro ante el espectáculo que brindaba la nación más desarrollada del mundo al no encontrar el camino que le permitiera hacer frente a dicho accidente en forma rápida y eficaz. En la OMI y con el propio patrocinio de los Estados Unidos, rápidamente se estableció la necesidad de contar con un convenio de cooperación internacional en casos de grandes derrames de hidrocarburos tratando de esta forma contrarrestar los efectos causados por hidrocarburos.</w:t>
      </w:r>
    </w:p>
    <w:p w:rsidR="00197AA0" w:rsidRPr="00816BCE" w:rsidRDefault="00197AA0" w:rsidP="00232C32">
      <w:pPr>
        <w:spacing w:line="360" w:lineRule="auto"/>
        <w:ind w:right="44"/>
        <w:jc w:val="both"/>
        <w:rPr>
          <w:rFonts w:ascii="Arial" w:hAnsi="Arial" w:cs="Arial"/>
          <w:sz w:val="22"/>
          <w:szCs w:val="22"/>
        </w:rPr>
      </w:pPr>
    </w:p>
    <w:p w:rsidR="00197AA0" w:rsidRPr="00816BCE" w:rsidRDefault="00197AA0" w:rsidP="00232C32">
      <w:pPr>
        <w:spacing w:line="360" w:lineRule="auto"/>
        <w:ind w:right="44"/>
        <w:rPr>
          <w:rFonts w:ascii="Arial" w:hAnsi="Arial" w:cs="Arial"/>
          <w:b/>
          <w:sz w:val="22"/>
          <w:szCs w:val="22"/>
        </w:rPr>
      </w:pPr>
      <w:r w:rsidRPr="00816BCE">
        <w:rPr>
          <w:rFonts w:ascii="Arial" w:hAnsi="Arial" w:cs="Arial"/>
          <w:b/>
          <w:sz w:val="22"/>
          <w:szCs w:val="22"/>
        </w:rPr>
        <w:t>1.1.3 Buque Erika</w:t>
      </w:r>
    </w:p>
    <w:p w:rsidR="00197AA0" w:rsidRDefault="00197AA0" w:rsidP="00232C32">
      <w:pPr>
        <w:spacing w:line="360" w:lineRule="auto"/>
        <w:ind w:right="44" w:firstLine="567"/>
        <w:jc w:val="both"/>
        <w:rPr>
          <w:rFonts w:ascii="Arial" w:hAnsi="Arial" w:cs="Arial"/>
          <w:sz w:val="22"/>
          <w:szCs w:val="22"/>
        </w:rPr>
      </w:pPr>
    </w:p>
    <w:p w:rsidR="00197AA0" w:rsidRPr="00816BCE"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64" type="#_x0000_t202" style="position:absolute;left:0;text-align:left;margin-left:213.85pt;margin-top:118.45pt;width:31.8pt;height:21pt;z-index:251691008;mso-height-percent:200;mso-height-percent:200;mso-width-relative:margin;mso-height-relative:margin" fillcolor="white [3212]" stroked="f">
            <v:textbox style="mso-next-textbox:#_x0000_s1064;mso-fit-shape-to-text:t">
              <w:txbxContent>
                <w:p w:rsidR="00AC7D7B" w:rsidRDefault="00AC7D7B" w:rsidP="00E825BB">
                  <w:r>
                    <w:t>17</w:t>
                  </w:r>
                </w:p>
              </w:txbxContent>
            </v:textbox>
          </v:shape>
        </w:pict>
      </w:r>
      <w:r w:rsidR="00197AA0" w:rsidRPr="00816BCE">
        <w:rPr>
          <w:rFonts w:ascii="Arial" w:hAnsi="Arial" w:cs="Arial"/>
          <w:sz w:val="22"/>
          <w:szCs w:val="22"/>
        </w:rPr>
        <w:t xml:space="preserve">El buque Erika se accidentó el 12 de diciembre de 1999, el cual se partió en dos, frente a la costa de Bretaña, Francia. Fue construido en el año de 1975. El cargamento </w:t>
      </w:r>
      <w:r w:rsidR="00197AA0" w:rsidRPr="00816BCE">
        <w:rPr>
          <w:rFonts w:ascii="Arial" w:hAnsi="Arial" w:cs="Arial"/>
          <w:sz w:val="22"/>
          <w:szCs w:val="22"/>
        </w:rPr>
        <w:lastRenderedPageBreak/>
        <w:t>de crudo que transportaba era aproximadamente de 30,000 toneladas, de las cuales de estas se derramaron unas 19,800 toneladas del crudo en el espacio marítimo. Se calcula que se contaminaron unos 400 Km. de costa, desde la isla de Ré hasta Penmarch y además se recogieron del litoral más de</w:t>
      </w:r>
      <w:r w:rsidR="00197AA0">
        <w:rPr>
          <w:rFonts w:ascii="Arial" w:hAnsi="Arial" w:cs="Arial"/>
        </w:rPr>
        <w:t xml:space="preserve"> </w:t>
      </w:r>
      <w:r w:rsidR="00197AA0" w:rsidRPr="00816BCE">
        <w:rPr>
          <w:rFonts w:ascii="Arial" w:hAnsi="Arial" w:cs="Arial"/>
          <w:sz w:val="22"/>
          <w:szCs w:val="22"/>
        </w:rPr>
        <w:t>250,000 toneladas de desechos oleosos, donde se afecto a miles de aves y a la fauna marítima de la zona. El Buque Erika estaba abanderado bajo una bandera de conveniencia (Bandera de Malta).</w:t>
      </w:r>
    </w:p>
    <w:p w:rsidR="00197AA0" w:rsidRPr="00816BCE" w:rsidRDefault="00197AA0" w:rsidP="00232C32">
      <w:pPr>
        <w:pStyle w:val="NormalWeb"/>
        <w:spacing w:line="360" w:lineRule="auto"/>
        <w:ind w:right="44" w:firstLine="567"/>
        <w:jc w:val="both"/>
        <w:rPr>
          <w:rFonts w:ascii="Arial" w:hAnsi="Arial" w:cs="Arial"/>
          <w:sz w:val="22"/>
          <w:szCs w:val="22"/>
        </w:rPr>
      </w:pPr>
      <w:r w:rsidRPr="00816BCE">
        <w:rPr>
          <w:rFonts w:ascii="Arial" w:hAnsi="Arial" w:cs="Arial"/>
          <w:sz w:val="22"/>
          <w:szCs w:val="22"/>
        </w:rPr>
        <w:t xml:space="preserve">Cabe resaltar algunas de las posibles causas que se manejan del porque del siniestro; la primera son las condiciones climatológicas adversas, ya que cuando el buque se encontraba realizando su viaje, lo hacía contra vientos de hasta 80km/h y olas de más de 6 m. Las condiciones físicas y técnicas del buque Erika, no eran las más adecuadas y propicias para poder navegar, ya que el buque tenía 25 años de antigüedad y también carecía de doble casco. </w:t>
      </w:r>
    </w:p>
    <w:p w:rsidR="00197AA0" w:rsidRPr="00816BCE" w:rsidRDefault="00197AA0" w:rsidP="00232C32">
      <w:pPr>
        <w:pStyle w:val="NormalWeb"/>
        <w:spacing w:line="360" w:lineRule="auto"/>
        <w:ind w:right="44" w:firstLine="567"/>
        <w:jc w:val="both"/>
        <w:rPr>
          <w:rFonts w:ascii="Arial" w:hAnsi="Arial" w:cs="Arial"/>
          <w:sz w:val="22"/>
          <w:szCs w:val="22"/>
          <w:lang w:val="es-ES_tradnl"/>
        </w:rPr>
      </w:pPr>
      <w:r w:rsidRPr="00816BCE">
        <w:rPr>
          <w:rFonts w:ascii="Arial" w:hAnsi="Arial" w:cs="Arial"/>
          <w:sz w:val="22"/>
          <w:szCs w:val="22"/>
        </w:rPr>
        <w:t>Este petrolero pertenecía a la empresa Total Fina Elf</w:t>
      </w:r>
      <w:r w:rsidRPr="00816BCE">
        <w:rPr>
          <w:rStyle w:val="Refdenotaalpie"/>
          <w:rFonts w:ascii="Arial" w:hAnsi="Arial" w:cs="Arial"/>
          <w:sz w:val="22"/>
          <w:szCs w:val="22"/>
        </w:rPr>
        <w:footnoteReference w:customMarkFollows="1" w:id="46"/>
        <w:sym w:font="Symbol" w:char="F02A"/>
      </w:r>
      <w:r w:rsidRPr="00816BCE">
        <w:rPr>
          <w:rFonts w:ascii="Arial" w:hAnsi="Arial" w:cs="Arial"/>
          <w:sz w:val="22"/>
          <w:szCs w:val="22"/>
        </w:rPr>
        <w:t xml:space="preserve"> y fue denunciada por Greenpeace</w:t>
      </w:r>
      <w:r w:rsidRPr="00816BCE">
        <w:rPr>
          <w:rStyle w:val="Refdenotaalpie"/>
          <w:rFonts w:ascii="Arial" w:hAnsi="Arial" w:cs="Arial"/>
          <w:sz w:val="22"/>
          <w:szCs w:val="22"/>
        </w:rPr>
        <w:footnoteReference w:customMarkFollows="1" w:id="47"/>
        <w:sym w:font="Symbol" w:char="F02A"/>
      </w:r>
      <w:r w:rsidRPr="00816BCE">
        <w:rPr>
          <w:rStyle w:val="Refdenotaalpie"/>
          <w:rFonts w:ascii="Arial" w:hAnsi="Arial" w:cs="Arial"/>
          <w:sz w:val="22"/>
          <w:szCs w:val="22"/>
        </w:rPr>
        <w:sym w:font="Symbol" w:char="F02A"/>
      </w:r>
      <w:r w:rsidRPr="00816BCE">
        <w:rPr>
          <w:rFonts w:ascii="Arial" w:hAnsi="Arial" w:cs="Arial"/>
          <w:sz w:val="22"/>
          <w:szCs w:val="22"/>
        </w:rPr>
        <w:t xml:space="preserve"> por no proveer de los instrumentos necesarios para hacer frente al desastre. Una jueza culpó a esta empresa de contaminación marítima y complicidad en la puesta en peligro de la vida ajena. </w:t>
      </w:r>
      <w:r w:rsidRPr="00816BCE">
        <w:rPr>
          <w:rFonts w:ascii="Arial" w:hAnsi="Arial" w:cs="Arial"/>
          <w:sz w:val="22"/>
          <w:szCs w:val="22"/>
          <w:lang w:val="es-ES_tradnl"/>
        </w:rPr>
        <w:t>Este desastre provocó que la Unión Europea endureciera las medidas de seguridad para los superpetroleros, estas medidas son conocidas como Erika 1 y Erika 2, o la directiva Erika.</w:t>
      </w:r>
    </w:p>
    <w:p w:rsidR="00197AA0" w:rsidRPr="00816BCE" w:rsidRDefault="00197AA0" w:rsidP="00232C32">
      <w:pPr>
        <w:spacing w:line="360" w:lineRule="auto"/>
        <w:ind w:right="44" w:firstLine="567"/>
        <w:jc w:val="both"/>
        <w:rPr>
          <w:rFonts w:ascii="Arial" w:hAnsi="Arial" w:cs="Arial"/>
          <w:sz w:val="22"/>
          <w:szCs w:val="22"/>
          <w:lang w:val="es-ES_tradnl"/>
        </w:rPr>
      </w:pPr>
      <w:r w:rsidRPr="00816BCE">
        <w:rPr>
          <w:rFonts w:ascii="Arial" w:hAnsi="Arial" w:cs="Arial"/>
          <w:sz w:val="22"/>
          <w:szCs w:val="22"/>
          <w:lang w:val="es-ES_tradnl"/>
        </w:rPr>
        <w:t>En el siguiente cuadro se muestra de manera más detallada y explicita las características y datos técnicos del famoso buque Erika:</w:t>
      </w:r>
    </w:p>
    <w:p w:rsidR="00197AA0" w:rsidRDefault="00197AA0" w:rsidP="00232C32">
      <w:pPr>
        <w:spacing w:line="360" w:lineRule="auto"/>
        <w:ind w:right="44"/>
        <w:jc w:val="both"/>
        <w:rPr>
          <w:rFonts w:ascii="Arial" w:hAnsi="Arial" w:cs="Arial"/>
          <w:b/>
          <w:sz w:val="22"/>
          <w:szCs w:val="22"/>
        </w:rPr>
      </w:pPr>
    </w:p>
    <w:p w:rsidR="00197AA0" w:rsidRDefault="00197AA0" w:rsidP="00232C32">
      <w:pPr>
        <w:spacing w:line="360" w:lineRule="auto"/>
        <w:ind w:right="44"/>
        <w:jc w:val="both"/>
        <w:rPr>
          <w:rFonts w:ascii="Arial" w:hAnsi="Arial" w:cs="Arial"/>
          <w:b/>
          <w:sz w:val="22"/>
          <w:szCs w:val="22"/>
        </w:rPr>
      </w:pPr>
      <w:r w:rsidRPr="00816BCE">
        <w:rPr>
          <w:rFonts w:ascii="Arial" w:hAnsi="Arial" w:cs="Arial"/>
          <w:b/>
          <w:sz w:val="22"/>
          <w:szCs w:val="22"/>
        </w:rPr>
        <w:t>Tabla 1.3 Buque Erika</w:t>
      </w:r>
    </w:p>
    <w:p w:rsidR="00197AA0" w:rsidRPr="00816BCE" w:rsidRDefault="00197AA0" w:rsidP="00232C32">
      <w:pPr>
        <w:spacing w:line="360" w:lineRule="auto"/>
        <w:ind w:right="44"/>
        <w:jc w:val="both"/>
        <w:rPr>
          <w:rFonts w:ascii="Arial" w:hAnsi="Arial" w:cs="Arial"/>
          <w:b/>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369"/>
        <w:gridCol w:w="5275"/>
      </w:tblGrid>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Nombre</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Erika</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Construcción</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Kasado Doc Co Ltd Japón, 1975</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Tipo</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Petrolero monocasco a lastres separados</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lastRenderedPageBreak/>
              <w:t>Peso en bruto</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37.283 toneladas</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Cisternas</w:t>
            </w:r>
          </w:p>
        </w:tc>
        <w:tc>
          <w:tcPr>
            <w:tcW w:w="5275" w:type="dxa"/>
          </w:tcPr>
          <w:p w:rsidR="00197AA0" w:rsidRDefault="001D7573">
            <w:pPr>
              <w:spacing w:after="200" w:line="360" w:lineRule="auto"/>
              <w:ind w:right="44"/>
              <w:jc w:val="both"/>
              <w:rPr>
                <w:rFonts w:ascii="Arial" w:hAnsi="Arial" w:cs="Arial"/>
                <w:sz w:val="18"/>
                <w:szCs w:val="18"/>
                <w:lang w:eastAsia="en-US"/>
              </w:rPr>
            </w:pPr>
            <w:r w:rsidRPr="001D7573">
              <w:rPr>
                <w:rFonts w:ascii="Arial" w:hAnsi="Arial" w:cs="Arial"/>
                <w:b/>
                <w:noProof/>
                <w:sz w:val="18"/>
                <w:szCs w:val="18"/>
              </w:rPr>
              <w:pict>
                <v:shape id="_x0000_s1065" type="#_x0000_t202" style="position:absolute;left:0;text-align:left;margin-left:22.2pt;margin-top:147.7pt;width:31.8pt;height:21pt;z-index:251692032;mso-height-percent:200;mso-position-horizontal-relative:text;mso-position-vertical-relative:text;mso-height-percent:200;mso-width-relative:margin;mso-height-relative:margin" fillcolor="white [3212]" stroked="f">
                  <v:textbox style="mso-next-textbox:#_x0000_s1065;mso-fit-shape-to-text:t">
                    <w:txbxContent>
                      <w:p w:rsidR="00AC7D7B" w:rsidRDefault="00AC7D7B" w:rsidP="00E825BB">
                        <w:r>
                          <w:t>18</w:t>
                        </w:r>
                      </w:p>
                    </w:txbxContent>
                  </v:textbox>
                </v:shape>
              </w:pict>
            </w:r>
            <w:r w:rsidR="00197AA0">
              <w:rPr>
                <w:rFonts w:ascii="Arial" w:hAnsi="Arial" w:cs="Arial"/>
                <w:sz w:val="18"/>
                <w:szCs w:val="18"/>
              </w:rPr>
              <w:t>9 cisternas de carga – 4 lastres</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Longitud</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184 m</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Calado</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10,9</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Motor</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Suize – 13.200 caballos</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Carga</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31.000 toneladas de fuel n°2</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Buque</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280 toneladas</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Diesel Marino</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132 toneladas</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Bandera</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Maltesa</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Propietario</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Tevere Shipping (Malta)</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Gerente</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Panship</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Empresa de Clasificación</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Rina</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P&amp;I Club</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Steamship Mutual Underwriting Association</w:t>
            </w:r>
          </w:p>
        </w:tc>
      </w:tr>
      <w:tr w:rsidR="00197AA0" w:rsidTr="00232C32">
        <w:tc>
          <w:tcPr>
            <w:tcW w:w="3369" w:type="dxa"/>
          </w:tcPr>
          <w:p w:rsidR="00197AA0" w:rsidRDefault="00197AA0">
            <w:pPr>
              <w:spacing w:after="200" w:line="360" w:lineRule="auto"/>
              <w:ind w:right="44"/>
              <w:jc w:val="both"/>
              <w:rPr>
                <w:rFonts w:ascii="Arial" w:hAnsi="Arial" w:cs="Arial"/>
                <w:b/>
                <w:sz w:val="18"/>
                <w:szCs w:val="18"/>
                <w:lang w:eastAsia="en-US"/>
              </w:rPr>
            </w:pPr>
            <w:r>
              <w:rPr>
                <w:rFonts w:ascii="Arial" w:hAnsi="Arial" w:cs="Arial"/>
                <w:b/>
                <w:sz w:val="18"/>
                <w:szCs w:val="18"/>
              </w:rPr>
              <w:t>Fletamento</w:t>
            </w:r>
          </w:p>
        </w:tc>
        <w:tc>
          <w:tcPr>
            <w:tcW w:w="5275" w:type="dxa"/>
          </w:tcPr>
          <w:p w:rsidR="00197AA0" w:rsidRDefault="00197AA0">
            <w:pPr>
              <w:spacing w:after="200" w:line="360" w:lineRule="auto"/>
              <w:ind w:right="44"/>
              <w:jc w:val="both"/>
              <w:rPr>
                <w:rFonts w:ascii="Arial" w:hAnsi="Arial" w:cs="Arial"/>
                <w:sz w:val="18"/>
                <w:szCs w:val="18"/>
                <w:lang w:eastAsia="en-US"/>
              </w:rPr>
            </w:pPr>
            <w:r>
              <w:rPr>
                <w:rFonts w:ascii="Arial" w:hAnsi="Arial" w:cs="Arial"/>
                <w:sz w:val="18"/>
                <w:szCs w:val="18"/>
              </w:rPr>
              <w:t>Totalfina</w:t>
            </w:r>
          </w:p>
        </w:tc>
      </w:tr>
    </w:tbl>
    <w:p w:rsidR="00197AA0" w:rsidRDefault="00197AA0" w:rsidP="00232C32">
      <w:pPr>
        <w:spacing w:line="360" w:lineRule="auto"/>
        <w:ind w:right="44"/>
        <w:jc w:val="both"/>
        <w:rPr>
          <w:rFonts w:ascii="Arial" w:hAnsi="Arial" w:cs="Arial"/>
          <w:sz w:val="22"/>
          <w:szCs w:val="22"/>
          <w:lang w:eastAsia="en-US"/>
        </w:rPr>
      </w:pPr>
      <w:r>
        <w:rPr>
          <w:rFonts w:ascii="Arial" w:hAnsi="Arial" w:cs="Arial"/>
          <w:sz w:val="18"/>
          <w:szCs w:val="18"/>
        </w:rPr>
        <w:t>Fuente: Elaboración propia con información obtenida del sitio web Cedre</w:t>
      </w:r>
    </w:p>
    <w:p w:rsidR="00197AA0" w:rsidRDefault="00197AA0" w:rsidP="00232C32">
      <w:pPr>
        <w:spacing w:line="360" w:lineRule="auto"/>
        <w:ind w:right="44"/>
        <w:jc w:val="both"/>
        <w:rPr>
          <w:rFonts w:ascii="Arial" w:hAnsi="Arial" w:cs="Arial"/>
          <w:b/>
        </w:rPr>
      </w:pPr>
    </w:p>
    <w:p w:rsidR="00197AA0" w:rsidRPr="00816BCE"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Ahora que ya se tiene una idea más amplia de cómo estaba construido el buque, así también de su capacidad y de su tripulación, es necesario también conocer cómo fue que se dio este suceso tan trágico.</w:t>
      </w:r>
    </w:p>
    <w:p w:rsidR="00197AA0" w:rsidRPr="00816BCE" w:rsidRDefault="00197AA0" w:rsidP="00232C32">
      <w:pPr>
        <w:spacing w:line="360" w:lineRule="auto"/>
        <w:ind w:right="44" w:firstLine="567"/>
        <w:jc w:val="both"/>
        <w:rPr>
          <w:rFonts w:ascii="Arial" w:hAnsi="Arial" w:cs="Arial"/>
          <w:sz w:val="22"/>
          <w:szCs w:val="22"/>
        </w:rPr>
      </w:pPr>
    </w:p>
    <w:p w:rsidR="00197AA0" w:rsidRPr="00816BCE"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En la costa de Bretaña coinciden dos rutas de transporte marítimo de las más importantes del planeta: Una, la ruta de Europa-América del Norte y la Segunda, la de Europa-África-Golfo Pérsico. Es por este motivo, que no es extraño que periódicamente se produzcan muchos accidentes marítimos con vertido de petróleo o de sus derivados que ocasionan graves problemas de contaminación, con grandes pérdidas ecológicas y económicas, como fue el caso que se trata en este apartado, el Buque Erika.</w:t>
      </w:r>
    </w:p>
    <w:p w:rsidR="00197AA0" w:rsidRPr="00816BCE" w:rsidRDefault="00197AA0" w:rsidP="00232C32">
      <w:pPr>
        <w:spacing w:line="360" w:lineRule="auto"/>
        <w:ind w:right="44" w:firstLine="567"/>
        <w:jc w:val="both"/>
        <w:rPr>
          <w:rFonts w:ascii="Arial" w:hAnsi="Arial" w:cs="Arial"/>
          <w:sz w:val="22"/>
          <w:szCs w:val="22"/>
        </w:rPr>
      </w:pPr>
    </w:p>
    <w:p w:rsidR="00197AA0" w:rsidRPr="00816BCE" w:rsidRDefault="001D7573" w:rsidP="00232C32">
      <w:pPr>
        <w:spacing w:line="360" w:lineRule="auto"/>
        <w:ind w:right="44" w:firstLine="567"/>
        <w:jc w:val="both"/>
        <w:rPr>
          <w:rFonts w:ascii="Arial" w:hAnsi="Arial" w:cs="Arial"/>
          <w:sz w:val="22"/>
          <w:szCs w:val="22"/>
        </w:rPr>
      </w:pPr>
      <w:r w:rsidRPr="001D7573">
        <w:rPr>
          <w:rFonts w:ascii="Arial" w:hAnsi="Arial" w:cs="Arial"/>
          <w:b/>
          <w:noProof/>
          <w:sz w:val="18"/>
          <w:szCs w:val="18"/>
        </w:rPr>
        <w:pict>
          <v:shape id="_x0000_s1066" type="#_x0000_t202" style="position:absolute;left:0;text-align:left;margin-left:228.5pt;margin-top:118.3pt;width:31.8pt;height:21pt;z-index:251693056;mso-height-percent:200;mso-height-percent:200;mso-width-relative:margin;mso-height-relative:margin" fillcolor="white [3212]" stroked="f">
            <v:textbox style="mso-next-textbox:#_x0000_s1066;mso-fit-shape-to-text:t">
              <w:txbxContent>
                <w:p w:rsidR="00AC7D7B" w:rsidRDefault="00AC7D7B" w:rsidP="00E825BB">
                  <w:r>
                    <w:t>19</w:t>
                  </w:r>
                </w:p>
              </w:txbxContent>
            </v:textbox>
          </v:shape>
        </w:pict>
      </w:r>
      <w:r w:rsidR="00197AA0" w:rsidRPr="00816BCE">
        <w:rPr>
          <w:rFonts w:ascii="Arial" w:hAnsi="Arial" w:cs="Arial"/>
          <w:sz w:val="22"/>
          <w:szCs w:val="22"/>
        </w:rPr>
        <w:t xml:space="preserve">Como ya se mencionó en la parte introductoria el 12 de diciembre del año de 1999, el petrolero Erika  portaba desde 1990 bandera de conveniencia de Malta; llevaba ruta a </w:t>
      </w:r>
      <w:r w:rsidR="00197AA0" w:rsidRPr="00816BCE">
        <w:rPr>
          <w:rFonts w:ascii="Arial" w:hAnsi="Arial" w:cs="Arial"/>
          <w:sz w:val="22"/>
          <w:szCs w:val="22"/>
        </w:rPr>
        <w:lastRenderedPageBreak/>
        <w:t>Dunkerque, Francia a Livorno, Italia; y es en este viaje que sucede el terrible accidente, en el cual dicho buque se parte en dos y se hunde a 120 m de profundidad. Este buque fue fletado por la multinacional franco belga Totalfina, además este mismo era de propiedad italiana, llevaba capitán y tripulación indios</w:t>
      </w:r>
      <w:r w:rsidR="00197AA0" w:rsidRPr="00816BCE">
        <w:rPr>
          <w:rStyle w:val="Refdenotaalpie"/>
          <w:rFonts w:ascii="Arial" w:hAnsi="Arial" w:cs="Arial"/>
          <w:sz w:val="22"/>
          <w:szCs w:val="22"/>
        </w:rPr>
        <w:footnoteReference w:customMarkFollows="1" w:id="48"/>
        <w:sym w:font="Symbol" w:char="F02A"/>
      </w:r>
      <w:r w:rsidR="00197AA0" w:rsidRPr="00816BCE">
        <w:rPr>
          <w:rStyle w:val="Refdenotaalpie"/>
          <w:rFonts w:ascii="Arial" w:hAnsi="Arial" w:cs="Arial"/>
          <w:sz w:val="22"/>
          <w:szCs w:val="22"/>
        </w:rPr>
        <w:t xml:space="preserve">. </w:t>
      </w:r>
      <w:r w:rsidR="00197AA0" w:rsidRPr="00816BCE">
        <w:rPr>
          <w:rFonts w:ascii="Arial" w:hAnsi="Arial" w:cs="Arial"/>
          <w:sz w:val="22"/>
          <w:szCs w:val="22"/>
        </w:rPr>
        <w:t>Iba cargado con 30,000 toneladas de fuel, hidrocarburo pesado y viscoso que es resultante del refinado del petróleo bruto que se destinaba a la combustión en centrales térmicas, barcos, etcétera</w:t>
      </w:r>
      <w:r w:rsidR="00197AA0" w:rsidRPr="00816BCE">
        <w:rPr>
          <w:rStyle w:val="Refdenotaalpie"/>
          <w:rFonts w:ascii="Arial" w:hAnsi="Arial" w:cs="Arial"/>
          <w:sz w:val="22"/>
          <w:szCs w:val="22"/>
        </w:rPr>
        <w:footnoteReference w:id="49"/>
      </w:r>
      <w:r w:rsidR="00197AA0" w:rsidRPr="00816BCE">
        <w:rPr>
          <w:rFonts w:ascii="Arial" w:hAnsi="Arial" w:cs="Arial"/>
          <w:sz w:val="22"/>
          <w:szCs w:val="22"/>
        </w:rPr>
        <w:t>.</w:t>
      </w:r>
    </w:p>
    <w:p w:rsidR="00197AA0" w:rsidRPr="00816BCE" w:rsidRDefault="00197AA0" w:rsidP="00232C32">
      <w:pPr>
        <w:spacing w:line="360" w:lineRule="auto"/>
        <w:ind w:right="44" w:firstLine="567"/>
        <w:jc w:val="both"/>
        <w:rPr>
          <w:rFonts w:ascii="Arial" w:hAnsi="Arial" w:cs="Arial"/>
          <w:sz w:val="22"/>
          <w:szCs w:val="22"/>
        </w:rPr>
      </w:pPr>
    </w:p>
    <w:p w:rsidR="00197AA0" w:rsidRPr="00816BCE"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El petrolero al partirse, derrama en los primeros momentos del accidente entre 10 y 12 mil toneladas de fuel y se va al fondo con cerca de 20 mil toneladas más. En los primeros días del derrame, la marina francesa intenta alejarlo de las costas y envía tres barcos a bombear el fuel. El día 20 de diciembre eran nueve barcos entre ellos habían franceses y otros de Holanda, Alemania, Inglaterra y España; los que intentaban, más sin embargo, sin éxito, hacían lo posible por hacerse  controlar el fuel que flotaba a la deriva, para lo cual utilizaban diversos diques flotantes, entre ellos estaba el bombeo, una especie de esponjas gigantes; pero el mal estado del mar junto a las grandes olas, supuso una mayor complicación en cuanto a las circunstancias climatológicas que se registraban en el momento, lo cual vino a complicar mucho más todo lo que se estaba tratando de realizar y por consecuente hizo inútiles los esfuerzos para cercar con barreras flotantes, así mismo las manchas, que continuamente se fragmentaban  y se dirigían en dirección sur y hacia la costa, y por si esto no fuese suficiente, el petróleo viscoso taponaba los tubos de aspiración de los remolcadores que pretendían retirarlo del agua.</w:t>
      </w:r>
    </w:p>
    <w:p w:rsidR="00197AA0" w:rsidRPr="00816BCE" w:rsidRDefault="00197AA0" w:rsidP="00232C32">
      <w:pPr>
        <w:pStyle w:val="NormalWeb"/>
        <w:spacing w:line="360" w:lineRule="auto"/>
        <w:ind w:right="44" w:firstLine="567"/>
        <w:jc w:val="both"/>
        <w:rPr>
          <w:rFonts w:ascii="Arial" w:hAnsi="Arial" w:cs="Arial"/>
          <w:sz w:val="22"/>
          <w:szCs w:val="22"/>
        </w:rPr>
      </w:pPr>
      <w:r w:rsidRPr="00816BCE">
        <w:rPr>
          <w:rFonts w:ascii="Arial" w:hAnsi="Arial" w:cs="Arial"/>
          <w:sz w:val="22"/>
          <w:szCs w:val="22"/>
        </w:rPr>
        <w:t>Ante esta situación, descrita anteriormente se realizó un estudio por parte de la marina francesa sobre la evolución de la contaminación provocada por el hundimiento, que indicaba que existían cuatro manchas dispersas extendidas sobre una superficie de 17x32 millas aproximadamente. La que se consideró más importante se extendió sobre una distancia de 17 millas (32 km.), otra de unas 12 millas (22 km.) y otras dos de menor importancia.</w:t>
      </w:r>
    </w:p>
    <w:p w:rsidR="00197AA0" w:rsidRPr="00816BCE"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lang w:eastAsia="es-ES"/>
        </w:rPr>
        <w:lastRenderedPageBreak/>
        <w:pict>
          <v:shape id="_x0000_s1067" type="#_x0000_t202" style="position:absolute;left:0;text-align:left;margin-left:207.6pt;margin-top:184.1pt;width:31.8pt;height:21pt;z-index:251694080;mso-height-percent:200;mso-height-percent:200;mso-width-relative:margin;mso-height-relative:margin" fillcolor="white [3212]" stroked="f">
            <v:textbox style="mso-next-textbox:#_x0000_s1067;mso-fit-shape-to-text:t">
              <w:txbxContent>
                <w:p w:rsidR="00AC7D7B" w:rsidRDefault="00AC7D7B" w:rsidP="00E825BB">
                  <w:r>
                    <w:t>20</w:t>
                  </w:r>
                </w:p>
              </w:txbxContent>
            </v:textbox>
          </v:shape>
        </w:pict>
      </w:r>
      <w:r w:rsidR="00197AA0" w:rsidRPr="00816BCE">
        <w:rPr>
          <w:rFonts w:ascii="Arial" w:hAnsi="Arial" w:cs="Arial"/>
          <w:sz w:val="22"/>
          <w:szCs w:val="22"/>
        </w:rPr>
        <w:t xml:space="preserve">El producto resultante del líquido del fuel con el agua de mar consistía en bloques de producto de gran viscosidad y espesor máximo de 5 centímetros, compuestos de hasta un 50% de agua salada que iban desplazándose por la superficie del mar a una velocidad que, calculada con los datos disponibles hasta ese momento, rondaría las diez millas cada día. </w:t>
      </w:r>
    </w:p>
    <w:p w:rsidR="00197AA0" w:rsidRPr="00816BCE" w:rsidRDefault="00197AA0" w:rsidP="00232C32">
      <w:pPr>
        <w:pStyle w:val="NormalWeb"/>
        <w:spacing w:line="360" w:lineRule="auto"/>
        <w:ind w:right="44" w:firstLine="567"/>
        <w:jc w:val="both"/>
        <w:rPr>
          <w:rFonts w:ascii="Arial" w:hAnsi="Arial" w:cs="Arial"/>
          <w:sz w:val="22"/>
          <w:szCs w:val="22"/>
        </w:rPr>
      </w:pPr>
      <w:r w:rsidRPr="00816BCE">
        <w:rPr>
          <w:rFonts w:ascii="Arial" w:hAnsi="Arial" w:cs="Arial"/>
          <w:sz w:val="22"/>
          <w:szCs w:val="22"/>
        </w:rPr>
        <w:t>También en previsión de la posibilidad de que algunos restos de contaminación llegaran a las aguas españolas, se efectuó un exhaustivo seguimiento de su deriva para actuar en consecuencia de la contaminación por petróleo.</w:t>
      </w:r>
    </w:p>
    <w:p w:rsidR="00197AA0" w:rsidRDefault="00197AA0" w:rsidP="00232C32">
      <w:pPr>
        <w:spacing w:line="360" w:lineRule="auto"/>
        <w:ind w:right="44" w:firstLine="567"/>
        <w:jc w:val="both"/>
        <w:rPr>
          <w:rFonts w:ascii="Arial" w:hAnsi="Arial" w:cs="Arial"/>
          <w:sz w:val="22"/>
          <w:szCs w:val="22"/>
        </w:rPr>
      </w:pPr>
      <w:r w:rsidRPr="00816BCE">
        <w:rPr>
          <w:rFonts w:ascii="Arial" w:hAnsi="Arial" w:cs="Arial"/>
          <w:sz w:val="22"/>
          <w:szCs w:val="22"/>
        </w:rPr>
        <w:t>Luego del accidente del buque Erika en el mismo año 1999, la petrolera francesa Total, el armador Giuseppe Savarese, el administrador Antonio Pollara y la empresa de clasificación Rina fueron condenados por la justicia francesa a pagar 192 millones de euros por daños e intereses por el naufragio de dicho buque. La empresa Total fue hallada culpable de imprudencia y condenada igualmente a la multa máxima de 375,000 euros por el naufragio del navío, frente a la costa del noroeste de Francia.</w:t>
      </w:r>
      <w:r w:rsidRPr="00816BCE">
        <w:rPr>
          <w:rFonts w:ascii="Arial" w:hAnsi="Arial" w:cs="Arial"/>
          <w:sz w:val="22"/>
          <w:szCs w:val="22"/>
        </w:rPr>
        <w:br/>
      </w:r>
      <w:r w:rsidRPr="00816BCE">
        <w:rPr>
          <w:rFonts w:ascii="Arial" w:hAnsi="Arial" w:cs="Arial"/>
          <w:sz w:val="22"/>
          <w:szCs w:val="22"/>
        </w:rPr>
        <w:br/>
        <w:t xml:space="preserve">       Este accidente marítimo no sólo es el primero en incitar la apertura de un gran juicio sobre una catástrofe ecológica en Francia, sino que además suscitó el primer reconocimiento jurídico de la existencia de un daño ecológico, lo que permitió el pago por daños y perjuicios a las asociaciones de defensa del medio ambiente. El armador y administrador del buque Erika, ambos de nacionalidad italiana, fueron declarados culpables de una falta caracterizada y sentenciados a una multa de 75,000 euros por el Tribunal Correccional de París. Así mismo la sociedad italiana Rina, que había emitido los certificados de navegabilidad del buque que transportaba petróleo pesado con dirección a Italia,</w:t>
      </w:r>
      <w:r>
        <w:rPr>
          <w:rFonts w:ascii="Arial" w:hAnsi="Arial" w:cs="Arial"/>
          <w:sz w:val="22"/>
          <w:szCs w:val="22"/>
        </w:rPr>
        <w:t xml:space="preserve"> </w:t>
      </w:r>
      <w:r w:rsidRPr="00816BCE">
        <w:rPr>
          <w:rFonts w:ascii="Arial" w:hAnsi="Arial" w:cs="Arial"/>
          <w:sz w:val="22"/>
          <w:szCs w:val="22"/>
        </w:rPr>
        <w:t xml:space="preserve">fue condenada a la multa máxima de 375,000 euros. </w:t>
      </w:r>
      <w:r w:rsidRPr="00816BCE">
        <w:rPr>
          <w:rFonts w:ascii="Arial" w:hAnsi="Arial" w:cs="Arial"/>
          <w:sz w:val="22"/>
          <w:szCs w:val="22"/>
        </w:rPr>
        <w:br/>
      </w:r>
      <w:r w:rsidRPr="00816BCE">
        <w:rPr>
          <w:rFonts w:ascii="Arial" w:hAnsi="Arial" w:cs="Arial"/>
          <w:sz w:val="22"/>
          <w:szCs w:val="22"/>
        </w:rPr>
        <w:br/>
        <w:t xml:space="preserve">        La sentencia del Tribunal Correccional de París, dictada ocho años después de la catástrofe, causó conmoción en los abogados de la petrolera Total, que recomendaron a la multinacional que apelara para el pago de las multas y las indemnizaciones. El monto de las indemnizaciones estuvo alrededor de los mil millones de euros que habían reclamado las 101 partes civiles, muchas de cuyas demandas fueron rechazadas. El principal beneficiario de las indemnizaciones fue el Estado francés, al que le correspondió  casi 154 millones de euros. Por ejemplo  el departamento de Loire-Atlantique, con 4,3 millones, la región de Bretaña con 2,57 millones y el departamento de Morbihan, con 2,1 </w:t>
      </w:r>
      <w:r w:rsidRPr="00816BCE">
        <w:rPr>
          <w:rFonts w:ascii="Arial" w:hAnsi="Arial" w:cs="Arial"/>
          <w:sz w:val="22"/>
          <w:szCs w:val="22"/>
        </w:rPr>
        <w:lastRenderedPageBreak/>
        <w:t>millones, le siguieron como principales damnificados, por delante de otras regiones, departamentos y municipios cuyas costas fueron manchadas por el petróleo.</w:t>
      </w:r>
    </w:p>
    <w:p w:rsidR="00197AA0" w:rsidRPr="00816BCE"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68" type="#_x0000_t202" style="position:absolute;left:0;text-align:left;margin-left:200.45pt;margin-top:90.25pt;width:31.8pt;height:21pt;z-index:251695104;mso-height-percent:200;mso-height-percent:200;mso-width-relative:margin;mso-height-relative:margin" fillcolor="white [3212]" stroked="f">
            <v:textbox style="mso-next-textbox:#_x0000_s1068;mso-fit-shape-to-text:t">
              <w:txbxContent>
                <w:p w:rsidR="00AC7D7B" w:rsidRDefault="00AC7D7B" w:rsidP="00E825BB">
                  <w:r>
                    <w:t>21</w:t>
                  </w:r>
                </w:p>
              </w:txbxContent>
            </v:textbox>
          </v:shape>
        </w:pict>
      </w: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También es interesante que en este caso la Corte reconociera  el derecho de indemnizar a las asociaciones ecologistas, sobre todo a la Liga de Protección de los Pájaros, que recibió casi 800,000 euros.</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Como solicitaba la Fiscalía, el tribunal consideró a la empresa petrolera Total, culpable de imprudencia  al no haber tenido en cuenta la antigüedad del buque Erika, pese a que tenía casi 25 años, y ni su historial de mantenimiento, estos fueron factores claves para que la corte tuviera como base la causa real del naufragio.</w:t>
      </w:r>
      <w:r>
        <w:rPr>
          <w:rFonts w:ascii="Arial" w:hAnsi="Arial" w:cs="Arial"/>
          <w:sz w:val="22"/>
          <w:szCs w:val="22"/>
        </w:rPr>
        <w:t xml:space="preserve"> </w:t>
      </w:r>
      <w:r w:rsidRPr="00201277">
        <w:rPr>
          <w:rFonts w:ascii="Arial" w:hAnsi="Arial" w:cs="Arial"/>
          <w:sz w:val="22"/>
          <w:szCs w:val="22"/>
        </w:rPr>
        <w:t xml:space="preserve">El armador y el gestor del buque Erika fueron negligentes en su mantenimiento, según la sentencia, que indica que debían conocer el estado en el cual se encontraba el barco, y al mismo tiempo el grave riesgo que se corría al utilizarlo. </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También ante este breve marco de hechos, es importante mencionar que el accidente del buque Erika provocó que la Unión Europea endureciera las medidas de seguridad para los superpetroleros, estas medidas son conocidas como Erika 1 y Erika 2 o también conocida como la directiva Erika. Las normas sobre seguridad marítima, fueron propuestas inmediatamente tras la catástrofe,  adoptadas el 19 de diciembre de 2001 y  están vigentes desde el 22 de enero de 2002.</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A raíz del accidente del buque Erika, sucedido el 12 de diciembre de 1999, la Dirección General de Trasporte y Energía de la Comisión Europea, a finales del mes de febrero del año 2002,  hizo público un primer documento de trabajo que contenía tres propuestas normativas referidas a los procedimientos de inspección y a las normas de seguridad aplicable de forma muy especial a los buques petroleros.</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sz w:val="22"/>
          <w:szCs w:val="22"/>
        </w:rPr>
        <w:t>Las propuestas se centraron en</w:t>
      </w:r>
      <w:r w:rsidRPr="00201277">
        <w:rPr>
          <w:rStyle w:val="Refdenotaalpie"/>
          <w:rFonts w:ascii="Arial" w:hAnsi="Arial" w:cs="Arial"/>
          <w:sz w:val="22"/>
          <w:szCs w:val="22"/>
        </w:rPr>
        <w:footnoteReference w:id="50"/>
      </w:r>
      <w:r w:rsidRPr="00201277">
        <w:rPr>
          <w:rFonts w:ascii="Arial" w:hAnsi="Arial" w:cs="Arial"/>
          <w:sz w:val="22"/>
          <w:szCs w:val="22"/>
        </w:rPr>
        <w:t>:</w:t>
      </w:r>
    </w:p>
    <w:p w:rsidR="00197AA0" w:rsidRPr="00201277" w:rsidRDefault="00197AA0" w:rsidP="00232C32">
      <w:pPr>
        <w:pStyle w:val="NormalWeb"/>
        <w:numPr>
          <w:ilvl w:val="0"/>
          <w:numId w:val="4"/>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Modificación de la Directiva 95/21 PSC</w:t>
      </w:r>
      <w:r w:rsidRPr="00201277">
        <w:rPr>
          <w:rStyle w:val="Refdenotaalpie"/>
          <w:rFonts w:ascii="Arial" w:hAnsi="Arial" w:cs="Arial"/>
          <w:sz w:val="22"/>
          <w:szCs w:val="22"/>
        </w:rPr>
        <w:footnoteReference w:customMarkFollows="1" w:id="51"/>
        <w:sym w:font="Symbol" w:char="F02A"/>
      </w:r>
      <w:r w:rsidRPr="00201277">
        <w:rPr>
          <w:rFonts w:ascii="Arial" w:hAnsi="Arial" w:cs="Arial"/>
          <w:sz w:val="22"/>
          <w:szCs w:val="22"/>
        </w:rPr>
        <w:t>.</w:t>
      </w:r>
    </w:p>
    <w:p w:rsidR="00197AA0" w:rsidRPr="00201277" w:rsidRDefault="001D7573" w:rsidP="00232C32">
      <w:pPr>
        <w:pStyle w:val="NormalWeb"/>
        <w:spacing w:line="360" w:lineRule="auto"/>
        <w:ind w:right="44"/>
        <w:jc w:val="both"/>
        <w:rPr>
          <w:rFonts w:ascii="Arial" w:hAnsi="Arial" w:cs="Arial"/>
          <w:sz w:val="22"/>
          <w:szCs w:val="22"/>
        </w:rPr>
      </w:pPr>
      <w:r>
        <w:rPr>
          <w:rFonts w:ascii="Arial" w:hAnsi="Arial" w:cs="Arial"/>
          <w:noProof/>
          <w:sz w:val="22"/>
          <w:szCs w:val="22"/>
          <w:lang w:eastAsia="es-ES"/>
        </w:rPr>
        <w:lastRenderedPageBreak/>
        <w:pict>
          <v:shape id="_x0000_s1069" type="#_x0000_t202" style="position:absolute;left:0;text-align:left;margin-left:201.4pt;margin-top:158.15pt;width:31.8pt;height:21pt;z-index:251696128;mso-height-percent:200;mso-height-percent:200;mso-width-relative:margin;mso-height-relative:margin" fillcolor="white [3212]" stroked="f">
            <v:textbox style="mso-next-textbox:#_x0000_s1069;mso-fit-shape-to-text:t">
              <w:txbxContent>
                <w:p w:rsidR="00AC7D7B" w:rsidRDefault="00AC7D7B" w:rsidP="00E825BB">
                  <w:r>
                    <w:t>22</w:t>
                  </w:r>
                </w:p>
              </w:txbxContent>
            </v:textbox>
          </v:shape>
        </w:pict>
      </w:r>
      <w:r w:rsidR="00197AA0" w:rsidRPr="00201277">
        <w:rPr>
          <w:rFonts w:ascii="Arial" w:hAnsi="Arial" w:cs="Arial"/>
          <w:sz w:val="22"/>
          <w:szCs w:val="22"/>
        </w:rPr>
        <w:t>Esta pretende mejorar los procedimientos de inspección con el fin de asegurar:</w:t>
      </w:r>
    </w:p>
    <w:p w:rsidR="00197AA0" w:rsidRPr="00201277" w:rsidRDefault="00197AA0" w:rsidP="00232C32">
      <w:pPr>
        <w:pStyle w:val="NormalWeb"/>
        <w:numPr>
          <w:ilvl w:val="0"/>
          <w:numId w:val="5"/>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 xml:space="preserve"> Inspección preferentemente de los buques con índice de selección (target índex, TI) más elevados, haciendo obligatorio inspeccionar a todos los buques con TI&gt;50.</w:t>
      </w:r>
    </w:p>
    <w:p w:rsidR="00197AA0" w:rsidRPr="00201277" w:rsidRDefault="00197AA0" w:rsidP="00232C32">
      <w:pPr>
        <w:pStyle w:val="NormalWeb"/>
        <w:numPr>
          <w:ilvl w:val="0"/>
          <w:numId w:val="5"/>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 xml:space="preserve"> Realización de un seguimiento del desarrollo de las inspecciones y no sólo de sus resultados.</w:t>
      </w:r>
    </w:p>
    <w:p w:rsidR="00197AA0" w:rsidRPr="00201277" w:rsidRDefault="00197AA0" w:rsidP="00232C32">
      <w:pPr>
        <w:pStyle w:val="NormalWeb"/>
        <w:numPr>
          <w:ilvl w:val="0"/>
          <w:numId w:val="5"/>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Aumento de la transparencia de la información sobre deficiencias encontradas e identificación  a los fletadores de los buques detenidos.</w:t>
      </w:r>
    </w:p>
    <w:p w:rsidR="00197AA0" w:rsidRPr="00201277" w:rsidRDefault="00197AA0" w:rsidP="00232C32">
      <w:pPr>
        <w:pStyle w:val="NormalWeb"/>
        <w:numPr>
          <w:ilvl w:val="0"/>
          <w:numId w:val="5"/>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 xml:space="preserve"> Aplicación  de manera uniforme en todo el ámbito de la UE en  el procedimiento denominado inspección ampliada previsto en la citada Directiva.</w:t>
      </w:r>
    </w:p>
    <w:p w:rsidR="00197AA0" w:rsidRPr="00201277" w:rsidRDefault="00197AA0" w:rsidP="00232C32">
      <w:pPr>
        <w:pStyle w:val="NormalWeb"/>
        <w:numPr>
          <w:ilvl w:val="0"/>
          <w:numId w:val="5"/>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Se refuerzan las inspecciones a petroleros, y en particular a su estructura.</w:t>
      </w:r>
    </w:p>
    <w:p w:rsidR="00197AA0" w:rsidRPr="00201277" w:rsidRDefault="00197AA0" w:rsidP="00232C32">
      <w:pPr>
        <w:pStyle w:val="NormalWeb"/>
        <w:spacing w:line="360" w:lineRule="auto"/>
        <w:ind w:left="1004" w:right="44"/>
        <w:jc w:val="both"/>
        <w:rPr>
          <w:rFonts w:ascii="Arial" w:hAnsi="Arial" w:cs="Arial"/>
          <w:sz w:val="22"/>
          <w:szCs w:val="22"/>
        </w:rPr>
      </w:pPr>
      <w:r w:rsidRPr="00201277">
        <w:rPr>
          <w:rFonts w:ascii="Arial" w:hAnsi="Arial" w:cs="Arial"/>
          <w:sz w:val="22"/>
          <w:szCs w:val="22"/>
        </w:rPr>
        <w:t>2- Modificación de la Directiva 94/57 sobre Sociedades de Clasificación     reconocidas.</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Esta Comisión proponía principalmente, endurecer las condiciones para el reconocimiento y facilitar la suspensión o retirada del mismo y que los Estados miembros realicen evaluaciones del grado de cumplimiento, por parte de las Sociedades de Clasificación</w:t>
      </w:r>
      <w:r w:rsidRPr="00201277">
        <w:rPr>
          <w:rStyle w:val="Refdenotaalpie"/>
          <w:rFonts w:ascii="Arial" w:hAnsi="Arial" w:cs="Arial"/>
          <w:sz w:val="22"/>
          <w:szCs w:val="22"/>
        </w:rPr>
        <w:footnoteReference w:id="52"/>
      </w:r>
      <w:r w:rsidRPr="00201277">
        <w:rPr>
          <w:rFonts w:ascii="Arial" w:hAnsi="Arial" w:cs="Arial"/>
          <w:sz w:val="22"/>
          <w:szCs w:val="22"/>
        </w:rPr>
        <w:t>.</w:t>
      </w:r>
    </w:p>
    <w:p w:rsidR="00197AA0" w:rsidRPr="00201277" w:rsidRDefault="00197AA0" w:rsidP="00232C32">
      <w:pPr>
        <w:pStyle w:val="NormalWeb"/>
        <w:numPr>
          <w:ilvl w:val="0"/>
          <w:numId w:val="6"/>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 xml:space="preserve">Propuesta de Reglamento sobre aceleración de la entrada en vigor de la obligatoriedad del doble casco para buques tanque que escalen en puertos de la UE.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Ante esta propuesta se especuló que la reglamentación norteamericana OPA-90, es más dura que los criterios MARPOL, entre otros aspectos, ya que impone obligatoriamente el doble casco a partir de la fecha final de 2010 a los petroleros de casco sencillo de más de 5,000 TRB sea cual fuere su edad, fecha que se prolonga hasta el 2015 en el caso de que dispongan de doble costado o doble fondo.</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lang w:eastAsia="es-ES"/>
        </w:rPr>
        <w:lastRenderedPageBreak/>
        <w:pict>
          <v:shape id="_x0000_s1070" type="#_x0000_t202" style="position:absolute;left:0;text-align:left;margin-left:235.75pt;margin-top:129.45pt;width:31.8pt;height:21pt;z-index:251697152;mso-height-percent:200;mso-height-percent:200;mso-width-relative:margin;mso-height-relative:margin" fillcolor="white [3212]" stroked="f">
            <v:textbox style="mso-next-textbox:#_x0000_s1070;mso-fit-shape-to-text:t">
              <w:txbxContent>
                <w:p w:rsidR="00AC7D7B" w:rsidRDefault="00AC7D7B" w:rsidP="00E825BB">
                  <w:r>
                    <w:t>23</w:t>
                  </w:r>
                </w:p>
              </w:txbxContent>
            </v:textbox>
          </v:shape>
        </w:pict>
      </w:r>
      <w:r w:rsidR="00197AA0" w:rsidRPr="00201277">
        <w:rPr>
          <w:rFonts w:ascii="Arial" w:hAnsi="Arial" w:cs="Arial"/>
          <w:sz w:val="22"/>
          <w:szCs w:val="22"/>
        </w:rPr>
        <w:t xml:space="preserve">Es así como de las tres propuestas principales del paquete de medidas Erika 1, las dos primeras fueron acogidas favorablemente, mientras que la tercera fue objeto de fuertes críticas. No obstante, estas propuestas fueron adoptadas por el colegio de comisarios el 21 de marzo del año 2000 y sometidas al parlamento y al consejo.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Desafortunadamente la propuesta de la Comisión, se aplicó a los buques de  pabellón de la UE y a los que escalen en puertos de la comunidad, y en consecuencia no evitará el tránsito ni los posibles accidentes de buques no comunitarios en aguas de la UE.</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De hecho, la disposición del doble casco en los buques, no es la solución para prevenir todos los accidentes marítimos, aunque supone una protección en caso de colisiones o varadas, de menor intensidad. Por otra parte, se complicarán las tareas de mantenimiento de los buques, comprometiendo la propia estabilidad en determinadas condiciones de carga.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Así mismo el paquete de medidas Erika II, se propuso el 6 de diciembre del año 2000 por parte de la Comisión Europea para complementar las propuestas legislativas del anterior paquete; en el que se prevé el establecimiento de un sistema de información y control sobre tráfico marítimo, la instauración de un fondo de compensación de daños por contaminación por hidrocarburos y la creación de la Agencia Europea de la Seguridad Marítima, siendo aprobada su reglamentación para ser operativa a partir del año 2003.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El segundo conjunto de medidas comunitarias en materia de seguridad, presenta claramente una tendencia a la aceleración de los objetivos que en otros foros están aún en debate y en muchos casos bloqueados como es el caso en la OMI del ámbito de aplicación y fechas de implantación de las cajas negras para los buques</w:t>
      </w:r>
      <w:r w:rsidRPr="00201277">
        <w:rPr>
          <w:rStyle w:val="Refdenotaalpie"/>
          <w:rFonts w:ascii="Arial" w:hAnsi="Arial" w:cs="Arial"/>
          <w:sz w:val="22"/>
          <w:szCs w:val="22"/>
        </w:rPr>
        <w:footnoteReference w:id="53"/>
      </w:r>
      <w:r w:rsidRPr="00201277">
        <w:rPr>
          <w:rFonts w:ascii="Arial" w:hAnsi="Arial" w:cs="Arial"/>
          <w:sz w:val="22"/>
          <w:szCs w:val="22"/>
        </w:rPr>
        <w:t>.</w:t>
      </w:r>
    </w:p>
    <w:p w:rsidR="00197AA0" w:rsidRPr="00201277" w:rsidRDefault="001D7573" w:rsidP="00232C32">
      <w:pPr>
        <w:pStyle w:val="NormalWeb"/>
        <w:numPr>
          <w:ilvl w:val="0"/>
          <w:numId w:val="7"/>
        </w:numPr>
        <w:suppressAutoHyphens w:val="0"/>
        <w:spacing w:before="100" w:after="100" w:line="360" w:lineRule="auto"/>
        <w:ind w:right="44"/>
        <w:jc w:val="both"/>
        <w:rPr>
          <w:rFonts w:ascii="Arial" w:hAnsi="Arial" w:cs="Arial"/>
          <w:sz w:val="22"/>
          <w:szCs w:val="22"/>
        </w:rPr>
      </w:pPr>
      <w:r>
        <w:rPr>
          <w:rFonts w:ascii="Arial" w:hAnsi="Arial" w:cs="Arial"/>
          <w:noProof/>
          <w:sz w:val="22"/>
          <w:szCs w:val="22"/>
          <w:lang w:eastAsia="es-ES"/>
        </w:rPr>
        <w:pict>
          <v:shape id="_x0000_s1071" type="#_x0000_t202" style="position:absolute;left:0;text-align:left;margin-left:180.9pt;margin-top:253.4pt;width:31.8pt;height:21pt;z-index:251698176;mso-height-percent:200;mso-height-percent:200;mso-width-relative:margin;mso-height-relative:margin" fillcolor="white [3212]" stroked="f">
            <v:textbox style="mso-next-textbox:#_x0000_s1071;mso-fit-shape-to-text:t">
              <w:txbxContent>
                <w:p w:rsidR="00AC7D7B" w:rsidRDefault="00AC7D7B" w:rsidP="00E825BB">
                  <w:r>
                    <w:t>24</w:t>
                  </w:r>
                </w:p>
              </w:txbxContent>
            </v:textbox>
          </v:shape>
        </w:pict>
      </w:r>
      <w:r w:rsidR="00197AA0" w:rsidRPr="00201277">
        <w:rPr>
          <w:rFonts w:ascii="Arial" w:hAnsi="Arial" w:cs="Arial"/>
          <w:sz w:val="22"/>
          <w:szCs w:val="22"/>
        </w:rPr>
        <w:t xml:space="preserve">La primera medida para mejorar la seguridad del tráfico marítimo y la prevención de la contaminación, se articula alrededor de la directiva del año 2002 que propone el establecimiento de un sistema de notificación, para mejorar el control del tráfico de recalada o en tránsito; reforzando la capacidad de intervención legal de los Estados miembros ribereños para actuar, en caso de prever la posibilidad de un accidente o contaminación. Esta medida contemplaría la instauración de un </w:t>
      </w:r>
      <w:r w:rsidR="00197AA0" w:rsidRPr="00201277">
        <w:rPr>
          <w:rFonts w:ascii="Arial" w:hAnsi="Arial" w:cs="Arial"/>
          <w:sz w:val="22"/>
          <w:szCs w:val="22"/>
        </w:rPr>
        <w:lastRenderedPageBreak/>
        <w:t>sistema de control comunitario del tráfico de buques conocido como Safe Sea Net</w:t>
      </w:r>
      <w:r w:rsidR="00197AA0" w:rsidRPr="00201277">
        <w:rPr>
          <w:rStyle w:val="Refdenotaalpie"/>
          <w:rFonts w:ascii="Arial" w:hAnsi="Arial" w:cs="Arial"/>
          <w:sz w:val="22"/>
          <w:szCs w:val="22"/>
        </w:rPr>
        <w:footnoteReference w:customMarkFollows="1" w:id="54"/>
        <w:sym w:font="Symbol" w:char="F02A"/>
      </w:r>
      <w:r w:rsidR="00197AA0" w:rsidRPr="00201277">
        <w:rPr>
          <w:rFonts w:ascii="Arial" w:hAnsi="Arial" w:cs="Arial"/>
          <w:sz w:val="22"/>
          <w:szCs w:val="22"/>
        </w:rPr>
        <w:t xml:space="preserve"> que incluye un banco de datos y una red de intercambio de información entre los Estados miembros, que entró en vigor en febrero del 2004 exigiendo a los buques que entren en aguas europeas, equipen dispositivos que permitan su identificación automática ante las autoridades costeras quienes podrán comprobar su historial y conocer con antelación su riesgo potencial, y un equipo respondedor de radar ó AIS</w:t>
      </w:r>
      <w:r w:rsidR="00197AA0" w:rsidRPr="00201277">
        <w:rPr>
          <w:rStyle w:val="Refdenotaalpie"/>
          <w:rFonts w:ascii="Arial" w:hAnsi="Arial" w:cs="Arial"/>
          <w:sz w:val="22"/>
          <w:szCs w:val="22"/>
        </w:rPr>
        <w:footnoteReference w:customMarkFollows="1" w:id="55"/>
        <w:sym w:font="Symbol" w:char="F02A"/>
      </w:r>
      <w:r w:rsidR="00197AA0" w:rsidRPr="00201277">
        <w:rPr>
          <w:rStyle w:val="Refdenotaalpie"/>
          <w:rFonts w:ascii="Arial" w:hAnsi="Arial" w:cs="Arial"/>
          <w:sz w:val="22"/>
          <w:szCs w:val="22"/>
        </w:rPr>
        <w:sym w:font="Symbol" w:char="F02A"/>
      </w:r>
      <w:r w:rsidR="00197AA0" w:rsidRPr="00201277">
        <w:rPr>
          <w:rFonts w:ascii="Arial" w:hAnsi="Arial" w:cs="Arial"/>
          <w:sz w:val="22"/>
          <w:szCs w:val="22"/>
        </w:rPr>
        <w:t xml:space="preserve"> que proporcionaría los datos del buque en tiempo real a las autoridades costeras, posibilitando un estrecho control del tráfico marítimo en aguas europeas.</w:t>
      </w:r>
    </w:p>
    <w:p w:rsidR="00197AA0" w:rsidRDefault="00197AA0" w:rsidP="003523A4">
      <w:pPr>
        <w:pStyle w:val="NormalWeb"/>
        <w:suppressAutoHyphens w:val="0"/>
        <w:spacing w:before="100" w:after="100" w:line="360" w:lineRule="auto"/>
        <w:ind w:left="360" w:right="44"/>
        <w:jc w:val="both"/>
        <w:rPr>
          <w:rFonts w:ascii="Arial" w:hAnsi="Arial" w:cs="Arial"/>
          <w:sz w:val="22"/>
          <w:szCs w:val="22"/>
        </w:rPr>
      </w:pPr>
    </w:p>
    <w:p w:rsidR="00197AA0" w:rsidRDefault="00197AA0" w:rsidP="00232C32">
      <w:pPr>
        <w:pStyle w:val="NormalWeb"/>
        <w:numPr>
          <w:ilvl w:val="0"/>
          <w:numId w:val="7"/>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La segunda medida pretende modificar el régimen de responsabilidad y compensación de los daños por contaminación. Actualmente existen dos convenios internacionales, que establecen reglas detalladas de responsabilidad y de compensación de los daños al medio ambiente y contaminación marina, producidos por buques tanque; siendo los constituidos por los convenios CLC (Convención de Responsabilidad Civil, 1991) y el FIDAC (Fondo Internacional de Indemnización para Daños por Contaminación de Petróleo 1971-72).</w:t>
      </w:r>
    </w:p>
    <w:p w:rsidR="00197AA0" w:rsidRDefault="00197AA0" w:rsidP="003523A4">
      <w:pPr>
        <w:pStyle w:val="NormalWeb"/>
        <w:suppressAutoHyphens w:val="0"/>
        <w:spacing w:before="100" w:after="100" w:line="360" w:lineRule="auto"/>
        <w:ind w:right="44"/>
        <w:jc w:val="both"/>
        <w:rPr>
          <w:rFonts w:ascii="Arial" w:hAnsi="Arial" w:cs="Arial"/>
          <w:sz w:val="22"/>
          <w:szCs w:val="22"/>
        </w:rPr>
      </w:pPr>
    </w:p>
    <w:p w:rsidR="00197AA0" w:rsidRPr="00201277" w:rsidRDefault="001D7573" w:rsidP="00232C32">
      <w:pPr>
        <w:pStyle w:val="NormalWeb"/>
        <w:numPr>
          <w:ilvl w:val="0"/>
          <w:numId w:val="7"/>
        </w:numPr>
        <w:suppressAutoHyphens w:val="0"/>
        <w:spacing w:before="100" w:after="100" w:line="360" w:lineRule="auto"/>
        <w:ind w:right="44"/>
        <w:jc w:val="both"/>
        <w:rPr>
          <w:rFonts w:ascii="Arial" w:hAnsi="Arial" w:cs="Arial"/>
          <w:sz w:val="22"/>
          <w:szCs w:val="22"/>
        </w:rPr>
      </w:pPr>
      <w:r>
        <w:rPr>
          <w:rFonts w:ascii="Arial" w:hAnsi="Arial" w:cs="Arial"/>
          <w:noProof/>
          <w:sz w:val="22"/>
          <w:szCs w:val="22"/>
          <w:lang w:eastAsia="es-ES"/>
        </w:rPr>
        <w:pict>
          <v:shape id="_x0000_s1072" type="#_x0000_t202" style="position:absolute;left:0;text-align:left;margin-left:227.2pt;margin-top:367.75pt;width:31.8pt;height:21pt;z-index:251699200;mso-height-percent:200;mso-height-percent:200;mso-width-relative:margin;mso-height-relative:margin" fillcolor="white [3212]" stroked="f">
            <v:textbox style="mso-next-textbox:#_x0000_s1072;mso-fit-shape-to-text:t">
              <w:txbxContent>
                <w:p w:rsidR="00AC7D7B" w:rsidRDefault="00AC7D7B" w:rsidP="00E825BB">
                  <w:r>
                    <w:t>25</w:t>
                  </w:r>
                </w:p>
              </w:txbxContent>
            </v:textbox>
          </v:shape>
        </w:pict>
      </w:r>
      <w:r w:rsidR="00197AA0" w:rsidRPr="00201277">
        <w:rPr>
          <w:rFonts w:ascii="Arial" w:hAnsi="Arial" w:cs="Arial"/>
          <w:sz w:val="22"/>
          <w:szCs w:val="22"/>
        </w:rPr>
        <w:t>Finalmente la tercera y última medida supone el inicio de la reglamentación que establece la Agencia Europea de seguridad marítima (EMSA), que permitirá a la Unión Europea, controlar el correcto cumplimiento de la legislación comunitaria en materia de seguridad marítima. Basada jurídicamente en el tratado de la UE, que prevé el establecimiento de una política comunitaria de transportes, y en la que se incluye la mejora de la seguridad marítima, se inspira en la Agencia Europea de Seguridad Aérea</w:t>
      </w:r>
      <w:r w:rsidR="00197AA0" w:rsidRPr="003523A4">
        <w:rPr>
          <w:rStyle w:val="Refdenotaalpie"/>
          <w:rFonts w:ascii="Arial" w:hAnsi="Arial"/>
          <w:sz w:val="22"/>
          <w:szCs w:val="22"/>
        </w:rPr>
        <w:footnoteReference w:customMarkFollows="1" w:id="56"/>
        <w:sym w:font="Symbol" w:char="F02A"/>
      </w:r>
      <w:r w:rsidR="00197AA0" w:rsidRPr="003523A4">
        <w:rPr>
          <w:rStyle w:val="Refdenotaalpie"/>
          <w:rFonts w:ascii="Arial" w:hAnsi="Arial"/>
          <w:sz w:val="22"/>
          <w:szCs w:val="22"/>
        </w:rPr>
        <w:sym w:font="Symbol" w:char="F02A"/>
      </w:r>
      <w:r w:rsidR="00197AA0" w:rsidRPr="003523A4">
        <w:rPr>
          <w:rStyle w:val="Refdenotaalpie"/>
          <w:rFonts w:ascii="Arial" w:hAnsi="Arial"/>
          <w:sz w:val="22"/>
          <w:szCs w:val="22"/>
        </w:rPr>
        <w:sym w:font="Symbol" w:char="F02A"/>
      </w:r>
      <w:r w:rsidR="00197AA0" w:rsidRPr="00201277">
        <w:rPr>
          <w:rFonts w:ascii="Arial" w:hAnsi="Arial" w:cs="Arial"/>
          <w:sz w:val="22"/>
          <w:szCs w:val="22"/>
        </w:rPr>
        <w:t xml:space="preserve">. La comisión europea justifica su creación como ente que da apoyo técnico a la comisión y a los Estados miembros en la aplicación de las normas en materia de seguridad marítima y en la evaluación de su eficacia, </w:t>
      </w:r>
      <w:r w:rsidR="00197AA0" w:rsidRPr="00201277">
        <w:rPr>
          <w:rFonts w:ascii="Arial" w:hAnsi="Arial" w:cs="Arial"/>
          <w:sz w:val="22"/>
          <w:szCs w:val="22"/>
        </w:rPr>
        <w:lastRenderedPageBreak/>
        <w:t>gestionando una base de datos relativa a la seguridad marítima, auditando a las sociedades de clasificación y organizando inspecciones en los Estados miembros en concepto de control del Estado rector del puerto.</w:t>
      </w:r>
    </w:p>
    <w:p w:rsidR="00197AA0" w:rsidRPr="00201277" w:rsidRDefault="00197AA0" w:rsidP="00232C32">
      <w:pPr>
        <w:pStyle w:val="NormalWeb"/>
        <w:spacing w:line="360" w:lineRule="auto"/>
        <w:ind w:right="44" w:firstLine="567"/>
        <w:jc w:val="both"/>
        <w:rPr>
          <w:rFonts w:ascii="Arial" w:hAnsi="Arial" w:cs="Arial"/>
          <w:b/>
          <w:sz w:val="22"/>
          <w:szCs w:val="22"/>
        </w:rPr>
      </w:pPr>
      <w:r w:rsidRPr="00201277">
        <w:rPr>
          <w:rFonts w:ascii="Arial" w:hAnsi="Arial" w:cs="Arial"/>
          <w:sz w:val="22"/>
          <w:szCs w:val="22"/>
        </w:rPr>
        <w:t>Así mismo la Comisión Europea prevé también que en los próximos años se promulgue un cuerpo normativo importante sobre seguridad marítima, derivado de sus dos bloques de propuestas, ya que se calcula que el número de buques en riesgo a controlar pasará de unos 700 en 1999, a unos 5,000 en los próximos años, debido a la gran cantidad de petróleo que se transporta a través de  buques</w:t>
      </w:r>
      <w:r w:rsidRPr="00201277">
        <w:rPr>
          <w:rStyle w:val="Refdenotaalpie"/>
          <w:rFonts w:ascii="Arial" w:hAnsi="Arial" w:cs="Arial"/>
          <w:sz w:val="22"/>
          <w:szCs w:val="22"/>
        </w:rPr>
        <w:footnoteReference w:id="57"/>
      </w:r>
      <w:r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Es por lo tanto que tras haber conocido de cómo fue que sucedió el accidente del buque Erika, así como también que mecanismos de regulación se aplicaron, es importante mencionar que después de haber transcurrido alrededor de once años de la tragedia, en 1999, es importante analizar y concluir, las causas reales que provocaron una vez más otro accidente de petróleo que vino a contaminar la costa Bretaña en Francia y que afectó también a otros espacios marítimos europeos, dentro de estas causas reales cabe destacar una vez más como así fue en otros sucesos anteriores, el uso de bandera de conveniencia que en este caso era de Malta, así como también el tiempo de uso que tienen los buques ya que muchos de ellos tiene más de dos décadas transportando diversas mercancías entre ellos los hidrocarburos, en el caso del buque Erika que fue construido en 1975, cumplía ya los 25 años de antigüedad y este tuvo que haber sido vetado o inmovilizado para que este no pudiera circular ya que no cumplía con el mantenimiento requerido para haber podido navegar en las aguas de la costa Bretaña en Francia, ante esto se resaltan dos causas antes mencionadas que fueron muy importantes para que se viniera a desatar la apertura de un gran juicio sobre esta catástrofe.</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lang w:eastAsia="es-ES"/>
        </w:rPr>
        <w:pict>
          <v:shape id="_x0000_s1073" type="#_x0000_t202" style="position:absolute;left:0;text-align:left;margin-left:177.15pt;margin-top:252.55pt;width:31.8pt;height:21pt;z-index:251700224;mso-height-percent:200;mso-height-percent:200;mso-width-relative:margin;mso-height-relative:margin" fillcolor="white [3212]" stroked="f">
            <v:textbox style="mso-next-textbox:#_x0000_s1073;mso-fit-shape-to-text:t">
              <w:txbxContent>
                <w:p w:rsidR="00AC7D7B" w:rsidRDefault="00AC7D7B" w:rsidP="00F014B5">
                  <w:r>
                    <w:t>26</w:t>
                  </w:r>
                </w:p>
              </w:txbxContent>
            </v:textbox>
          </v:shape>
        </w:pict>
      </w:r>
      <w:r w:rsidR="00197AA0" w:rsidRPr="00201277">
        <w:rPr>
          <w:rFonts w:ascii="Arial" w:hAnsi="Arial" w:cs="Arial"/>
          <w:sz w:val="22"/>
          <w:szCs w:val="22"/>
        </w:rPr>
        <w:t xml:space="preserve">Es por este motivo que la comisión europea decidió crear los paquetes de medidas Erika o mejor conocidas como Erika I y Erika II; como anteriormente se han descrito, ya que fueron dos mecanismos importantes que se crearon para intentar paliar futuras tragedias en los espacios marítimos. Cabe destacar que si bien es cierto el accidente del buque Erika propició la creación de estas medidas también hay que mencionar que estas mismas no evitarán el tránsito de buques ni los posibles accidentes que  se susciten en los próximos años por derrames de petróleo en los espacios marítimos, ya que después </w:t>
      </w:r>
      <w:r w:rsidR="00197AA0" w:rsidRPr="00201277">
        <w:rPr>
          <w:rFonts w:ascii="Arial" w:hAnsi="Arial" w:cs="Arial"/>
          <w:sz w:val="22"/>
          <w:szCs w:val="22"/>
        </w:rPr>
        <w:lastRenderedPageBreak/>
        <w:t>del accidente del Erika de 1999 se ha presentado una larga lista de accidentes de buques con similares características, como lo es el caso del buque Prestige de 2002.  Es así como las medidas que se habían impulsado después del accidente del Erika vinieron a crear un nuevo marco regulatorio lleno de propuestas y de normas sobre seguridad marítima pero no de mecanismos eficaces reales para evitar o poner fin a estas catástrofes.</w:t>
      </w: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Finalmente es importante resaltar que este caso del buque Erika suscitó el primer reconocimiento jurídico de la existencia de un daño ecológico, lo que permitió el pago por daños y perjuicios a las asociaciones de defensa del medio ambiente ya que se reconoció el derecho de indemnizar, sobre todo a la Liga de Protección de los Pájaros, que recibió casi 800,000 euros.</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ind w:right="44"/>
        <w:rPr>
          <w:rFonts w:ascii="Arial" w:hAnsi="Arial" w:cs="Arial"/>
          <w:b/>
          <w:sz w:val="22"/>
          <w:szCs w:val="22"/>
        </w:rPr>
      </w:pPr>
      <w:r w:rsidRPr="00201277">
        <w:rPr>
          <w:rFonts w:ascii="Arial" w:hAnsi="Arial" w:cs="Arial"/>
          <w:b/>
          <w:sz w:val="22"/>
          <w:szCs w:val="22"/>
        </w:rPr>
        <w:t>1.1.4 Buque Prestige</w:t>
      </w:r>
    </w:p>
    <w:p w:rsidR="00197AA0" w:rsidRDefault="00197AA0" w:rsidP="00232C32">
      <w:pPr>
        <w:spacing w:line="360" w:lineRule="auto"/>
        <w:ind w:right="44" w:firstLine="567"/>
        <w:jc w:val="both"/>
        <w:rPr>
          <w:rFonts w:ascii="Arial" w:hAnsi="Arial" w:cs="Arial"/>
          <w:sz w:val="22"/>
          <w:szCs w:val="22"/>
          <w:lang w:val="es-SV"/>
        </w:rPr>
      </w:pPr>
    </w:p>
    <w:p w:rsidR="00197AA0" w:rsidRDefault="00197AA0" w:rsidP="00232C32">
      <w:pPr>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Después de casi ocho años de  la catástrofe ocasionada por el hundimiento del buque Prestige, a 130 millas de la costa de Galicia, es importante preguntarse si, desde entonces, se ha avanzado algo en el campo de la seguridad marítima y al mismo tiempo qué medidas se han adoptado, en su caso, para evitar otro suceso como aquel que conmocionó no sólo a la entera sociedad española sino también a una buena parte de la sociedad internacional durante mucho tiempo. </w:t>
      </w:r>
    </w:p>
    <w:p w:rsidR="00197AA0" w:rsidRPr="00201277" w:rsidRDefault="00197AA0" w:rsidP="00232C32">
      <w:pPr>
        <w:spacing w:line="360" w:lineRule="auto"/>
        <w:ind w:right="44" w:firstLine="567"/>
        <w:jc w:val="both"/>
        <w:rPr>
          <w:rFonts w:ascii="Arial" w:hAnsi="Arial" w:cs="Arial"/>
          <w:sz w:val="22"/>
          <w:szCs w:val="22"/>
          <w:lang w:val="es-SV"/>
        </w:rPr>
      </w:pPr>
    </w:p>
    <w:p w:rsidR="00197AA0" w:rsidRPr="00201277" w:rsidRDefault="00197AA0" w:rsidP="00232C32">
      <w:pPr>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Así mismo tanto en la seguridad marítima y, más concretamente, en la Política y en el Derecho marítimo, se ha producido un claro efecto de acción-reacción, debido a esta gran catástrofe ecológica originada por buques petroleros, que se  han seguido en los casos más significativos, creando una serie de medidas e instrumentos normativos que han tratado de mejorar la protección ambiental del medio marino.</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lang w:val="es-SV"/>
        </w:rPr>
        <w:t xml:space="preserve">También es interesante que el accidente del buque Prestige </w:t>
      </w:r>
      <w:r w:rsidRPr="00201277">
        <w:rPr>
          <w:rFonts w:ascii="Arial" w:hAnsi="Arial" w:cs="Arial"/>
          <w:sz w:val="22"/>
          <w:szCs w:val="22"/>
        </w:rPr>
        <w:t xml:space="preserve">tuvo una especial incidencia en </w:t>
      </w:r>
      <w:hyperlink r:id="rId56" w:tooltip="Galicia" w:history="1">
        <w:r w:rsidRPr="00201277">
          <w:rPr>
            <w:rStyle w:val="Hipervnculo"/>
            <w:rFonts w:ascii="Arial" w:hAnsi="Arial" w:cs="Arial"/>
            <w:color w:val="auto"/>
            <w:sz w:val="22"/>
            <w:szCs w:val="22"/>
            <w:u w:val="none"/>
          </w:rPr>
          <w:t>Galicia</w:t>
        </w:r>
      </w:hyperlink>
      <w:r w:rsidRPr="00201277">
        <w:rPr>
          <w:rFonts w:ascii="Arial" w:hAnsi="Arial" w:cs="Arial"/>
          <w:sz w:val="22"/>
          <w:szCs w:val="22"/>
        </w:rPr>
        <w:t xml:space="preserve">, ya que causó además una crisis política y controversia en la opinión pública, además ha sido el tercer accidente más caro de la historia; ya que la limpieza y sellado costó alrededor de 12 mil millones de dólares (12 billones de dólares), según los documentos, el doble que la </w:t>
      </w:r>
      <w:hyperlink r:id="rId57" w:tooltip="Accidente del Transbordador espacial Challenger" w:history="1">
        <w:r w:rsidRPr="00201277">
          <w:rPr>
            <w:rStyle w:val="Hipervnculo"/>
            <w:rFonts w:ascii="Arial" w:hAnsi="Arial" w:cs="Arial"/>
            <w:color w:val="auto"/>
            <w:sz w:val="22"/>
            <w:szCs w:val="22"/>
            <w:u w:val="none"/>
          </w:rPr>
          <w:t>explosión del Challenger</w:t>
        </w:r>
      </w:hyperlink>
      <w:r w:rsidRPr="00201277">
        <w:rPr>
          <w:rFonts w:ascii="Arial" w:hAnsi="Arial" w:cs="Arial"/>
          <w:sz w:val="22"/>
          <w:szCs w:val="22"/>
        </w:rPr>
        <w:t xml:space="preserve"> pero por detrás de la </w:t>
      </w:r>
      <w:hyperlink r:id="rId58" w:tooltip="Cronología de eventos de la tragedia del STS-107 Columbia" w:history="1">
        <w:r w:rsidRPr="00201277">
          <w:rPr>
            <w:rStyle w:val="Hipervnculo"/>
            <w:rFonts w:ascii="Arial" w:hAnsi="Arial" w:cs="Arial"/>
            <w:color w:val="auto"/>
            <w:sz w:val="22"/>
            <w:szCs w:val="22"/>
            <w:u w:val="none"/>
          </w:rPr>
          <w:t>desintegración del Columbia</w:t>
        </w:r>
      </w:hyperlink>
      <w:r w:rsidRPr="00201277">
        <w:rPr>
          <w:rFonts w:ascii="Arial" w:hAnsi="Arial" w:cs="Arial"/>
          <w:sz w:val="22"/>
          <w:szCs w:val="22"/>
        </w:rPr>
        <w:t xml:space="preserve"> y el </w:t>
      </w:r>
      <w:hyperlink r:id="rId59" w:tooltip="Accidente de Chernóbil" w:history="1">
        <w:r w:rsidRPr="00201277">
          <w:rPr>
            <w:rStyle w:val="Hipervnculo"/>
            <w:rFonts w:ascii="Arial" w:hAnsi="Arial" w:cs="Arial"/>
            <w:color w:val="auto"/>
            <w:sz w:val="22"/>
            <w:szCs w:val="22"/>
            <w:u w:val="none"/>
          </w:rPr>
          <w:t>accidente nuclear de Chernobyl</w:t>
        </w:r>
      </w:hyperlink>
      <w:r w:rsidRPr="00201277">
        <w:rPr>
          <w:rFonts w:ascii="Arial" w:hAnsi="Arial" w:cs="Arial"/>
          <w:sz w:val="22"/>
          <w:szCs w:val="22"/>
        </w:rPr>
        <w:t>.</w:t>
      </w:r>
    </w:p>
    <w:p w:rsidR="00197AA0" w:rsidRPr="00201277" w:rsidRDefault="001D7573" w:rsidP="00232C32">
      <w:pPr>
        <w:spacing w:line="360" w:lineRule="auto"/>
        <w:ind w:right="44" w:firstLine="567"/>
        <w:jc w:val="both"/>
        <w:rPr>
          <w:rFonts w:ascii="Arial" w:hAnsi="Arial" w:cs="Arial"/>
          <w:sz w:val="22"/>
          <w:szCs w:val="22"/>
          <w:lang w:val="es-SV"/>
        </w:rPr>
      </w:pPr>
      <w:r>
        <w:rPr>
          <w:rFonts w:ascii="Arial" w:hAnsi="Arial" w:cs="Arial"/>
          <w:noProof/>
          <w:sz w:val="22"/>
          <w:szCs w:val="22"/>
        </w:rPr>
        <w:lastRenderedPageBreak/>
        <w:pict>
          <v:shape id="_x0000_s1074" type="#_x0000_t202" style="position:absolute;left:0;text-align:left;margin-left:227.2pt;margin-top:59.7pt;width:31.8pt;height:21pt;z-index:251701248;mso-height-percent:200;mso-height-percent:200;mso-width-relative:margin;mso-height-relative:margin" fillcolor="white [3212]" stroked="f">
            <v:textbox style="mso-next-textbox:#_x0000_s1074;mso-fit-shape-to-text:t">
              <w:txbxContent>
                <w:p w:rsidR="00AC7D7B" w:rsidRDefault="00AC7D7B" w:rsidP="00F014B5">
                  <w:r>
                    <w:t>27</w:t>
                  </w:r>
                </w:p>
              </w:txbxContent>
            </v:textbox>
          </v:shape>
        </w:pict>
      </w:r>
      <w:r w:rsidR="00197AA0" w:rsidRPr="00201277">
        <w:rPr>
          <w:rFonts w:ascii="Arial" w:hAnsi="Arial" w:cs="Arial"/>
          <w:sz w:val="22"/>
          <w:szCs w:val="22"/>
          <w:lang w:val="es-SV"/>
        </w:rPr>
        <w:t xml:space="preserve"> Ante esta breve introducción es importante conocer con mucha más profundidad el caso del buque Prestige, y la cronología de una serie de hechos para ahondar de mejor forma en dicho caso, así como también algunos de los datos técnicos del buque Prestige que se muestran en el siguiente cuadro. </w:t>
      </w:r>
    </w:p>
    <w:p w:rsidR="00197AA0" w:rsidRDefault="00197AA0" w:rsidP="00232C32">
      <w:pPr>
        <w:spacing w:line="360" w:lineRule="auto"/>
        <w:ind w:right="44"/>
        <w:jc w:val="both"/>
        <w:rPr>
          <w:rFonts w:ascii="Arial" w:hAnsi="Arial" w:cs="Arial"/>
          <w:b/>
          <w:sz w:val="22"/>
          <w:szCs w:val="22"/>
          <w:lang w:val="es-SV"/>
        </w:rPr>
      </w:pPr>
    </w:p>
    <w:p w:rsidR="00197AA0" w:rsidRPr="00201277" w:rsidRDefault="00197AA0" w:rsidP="00232C32">
      <w:pPr>
        <w:spacing w:line="360" w:lineRule="auto"/>
        <w:ind w:right="44"/>
        <w:jc w:val="both"/>
        <w:rPr>
          <w:rFonts w:ascii="Arial" w:hAnsi="Arial" w:cs="Arial"/>
          <w:b/>
          <w:sz w:val="22"/>
          <w:szCs w:val="22"/>
          <w:lang w:val="es-SV"/>
        </w:rPr>
      </w:pPr>
      <w:r w:rsidRPr="00201277">
        <w:rPr>
          <w:rFonts w:ascii="Arial" w:hAnsi="Arial" w:cs="Arial"/>
          <w:b/>
          <w:sz w:val="22"/>
          <w:szCs w:val="22"/>
          <w:lang w:val="es-SV"/>
        </w:rPr>
        <w:t>Tabla 1.4 Buque Prestige</w:t>
      </w:r>
    </w:p>
    <w:tbl>
      <w:tblPr>
        <w:tblW w:w="5000" w:type="pct"/>
        <w:tblCellSpacing w:w="15" w:type="dxa"/>
        <w:tblBorders>
          <w:top w:val="outset" w:sz="6" w:space="0" w:color="auto"/>
          <w:left w:val="outset" w:sz="6" w:space="0" w:color="auto"/>
          <w:bottom w:val="outset" w:sz="6" w:space="0" w:color="auto"/>
          <w:right w:val="outset" w:sz="6" w:space="0" w:color="auto"/>
        </w:tblBorders>
        <w:tblLook w:val="00A0"/>
      </w:tblPr>
      <w:tblGrid>
        <w:gridCol w:w="4479"/>
        <w:gridCol w:w="4479"/>
      </w:tblGrid>
      <w:tr w:rsidR="00197AA0" w:rsidTr="00232C32">
        <w:trPr>
          <w:trHeight w:val="1350"/>
          <w:tblCellSpacing w:w="15" w:type="dxa"/>
        </w:trPr>
        <w:tc>
          <w:tcPr>
            <w:tcW w:w="2474" w:type="pct"/>
            <w:tcBorders>
              <w:top w:val="outset" w:sz="6" w:space="0" w:color="auto"/>
              <w:bottom w:val="outset" w:sz="6" w:space="0" w:color="auto"/>
              <w:right w:val="outset" w:sz="6" w:space="0" w:color="auto"/>
            </w:tcBorders>
            <w:tcMar>
              <w:top w:w="15" w:type="dxa"/>
              <w:left w:w="15" w:type="dxa"/>
              <w:bottom w:w="15" w:type="dxa"/>
              <w:right w:w="15" w:type="dxa"/>
            </w:tcMar>
            <w:vAlign w:val="center"/>
          </w:tcPr>
          <w:tbl>
            <w:tblPr>
              <w:tblW w:w="4750" w:type="pct"/>
              <w:jc w:val="center"/>
              <w:tblCellSpacing w:w="0" w:type="dxa"/>
              <w:tblCellMar>
                <w:top w:w="60" w:type="dxa"/>
                <w:left w:w="60" w:type="dxa"/>
                <w:bottom w:w="60" w:type="dxa"/>
                <w:right w:w="60" w:type="dxa"/>
              </w:tblCellMar>
              <w:tblLook w:val="00A0"/>
            </w:tblPr>
            <w:tblGrid>
              <w:gridCol w:w="1385"/>
              <w:gridCol w:w="2770"/>
            </w:tblGrid>
            <w:tr w:rsidR="00197AA0">
              <w:trPr>
                <w:tblCellSpacing w:w="0" w:type="dxa"/>
                <w:jc w:val="center"/>
              </w:trPr>
              <w:tc>
                <w:tcPr>
                  <w:tcW w:w="1300" w:type="pct"/>
                  <w:tcBorders>
                    <w:top w:val="nil"/>
                    <w:left w:val="nil"/>
                    <w:bottom w:val="nil"/>
                    <w:right w:val="nil"/>
                  </w:tcBorders>
                </w:tcPr>
                <w:p w:rsidR="00197AA0" w:rsidRDefault="00197AA0">
                  <w:pPr>
                    <w:ind w:right="44"/>
                    <w:rPr>
                      <w:rFonts w:ascii="Arial" w:hAnsi="Arial" w:cs="Arial"/>
                      <w:sz w:val="18"/>
                      <w:szCs w:val="18"/>
                    </w:rPr>
                  </w:pPr>
                  <w:r>
                    <w:rPr>
                      <w:rFonts w:ascii="Arial" w:hAnsi="Arial" w:cs="Arial"/>
                      <w:b/>
                      <w:bCs/>
                      <w:sz w:val="18"/>
                      <w:szCs w:val="18"/>
                    </w:rPr>
                    <w:t>Número OMI:</w:t>
                  </w:r>
                </w:p>
              </w:tc>
              <w:tc>
                <w:tcPr>
                  <w:tcW w:w="3700" w:type="pct"/>
                  <w:tcBorders>
                    <w:top w:val="nil"/>
                    <w:left w:val="nil"/>
                    <w:bottom w:val="nil"/>
                    <w:right w:val="nil"/>
                  </w:tcBorders>
                  <w:vAlign w:val="center"/>
                </w:tcPr>
                <w:p w:rsidR="00197AA0" w:rsidRDefault="00197AA0">
                  <w:pPr>
                    <w:ind w:right="44"/>
                    <w:rPr>
                      <w:rFonts w:ascii="Arial" w:hAnsi="Arial" w:cs="Arial"/>
                      <w:sz w:val="18"/>
                      <w:szCs w:val="18"/>
                    </w:rPr>
                  </w:pPr>
                  <w:r>
                    <w:rPr>
                      <w:rFonts w:ascii="Arial" w:hAnsi="Arial" w:cs="Arial"/>
                      <w:sz w:val="18"/>
                      <w:szCs w:val="18"/>
                    </w:rPr>
                    <w:t>7372141</w:t>
                  </w:r>
                </w:p>
              </w:tc>
            </w:tr>
            <w:tr w:rsidR="00197AA0">
              <w:trPr>
                <w:tblCellSpacing w:w="0" w:type="dxa"/>
                <w:jc w:val="center"/>
              </w:trPr>
              <w:tc>
                <w:tcPr>
                  <w:tcW w:w="1300" w:type="pct"/>
                  <w:tcBorders>
                    <w:top w:val="nil"/>
                    <w:left w:val="nil"/>
                    <w:bottom w:val="nil"/>
                    <w:right w:val="nil"/>
                  </w:tcBorders>
                </w:tcPr>
                <w:p w:rsidR="00197AA0" w:rsidRDefault="00197AA0">
                  <w:pPr>
                    <w:ind w:right="44"/>
                    <w:rPr>
                      <w:rFonts w:ascii="Arial" w:hAnsi="Arial" w:cs="Arial"/>
                      <w:sz w:val="18"/>
                      <w:szCs w:val="18"/>
                    </w:rPr>
                  </w:pPr>
                  <w:r>
                    <w:rPr>
                      <w:rFonts w:ascii="Arial" w:hAnsi="Arial" w:cs="Arial"/>
                      <w:b/>
                      <w:bCs/>
                      <w:sz w:val="18"/>
                      <w:szCs w:val="18"/>
                    </w:rPr>
                    <w:t xml:space="preserve">Construcción: </w:t>
                  </w:r>
                </w:p>
              </w:tc>
              <w:tc>
                <w:tcPr>
                  <w:tcW w:w="3700" w:type="pct"/>
                  <w:tcBorders>
                    <w:top w:val="nil"/>
                    <w:left w:val="nil"/>
                    <w:bottom w:val="nil"/>
                    <w:right w:val="nil"/>
                  </w:tcBorders>
                  <w:vAlign w:val="center"/>
                </w:tcPr>
                <w:p w:rsidR="00197AA0" w:rsidRDefault="00197AA0">
                  <w:pPr>
                    <w:ind w:right="44"/>
                    <w:rPr>
                      <w:rFonts w:ascii="Arial" w:hAnsi="Arial" w:cs="Arial"/>
                      <w:sz w:val="18"/>
                      <w:szCs w:val="18"/>
                    </w:rPr>
                  </w:pPr>
                  <w:r>
                    <w:rPr>
                      <w:rFonts w:ascii="Arial" w:hAnsi="Arial" w:cs="Arial"/>
                      <w:sz w:val="18"/>
                      <w:szCs w:val="18"/>
                      <w:lang w:val="en-US"/>
                    </w:rPr>
                    <w:t xml:space="preserve">1976, en los astilleros Hitachi Shipbuilding &amp; Engineering Co. </w:t>
                  </w:r>
                  <w:r>
                    <w:rPr>
                      <w:rFonts w:ascii="Arial" w:hAnsi="Arial" w:cs="Arial"/>
                      <w:sz w:val="18"/>
                      <w:szCs w:val="18"/>
                    </w:rPr>
                    <w:t xml:space="preserve">Yapan </w:t>
                  </w:r>
                </w:p>
              </w:tc>
            </w:tr>
            <w:tr w:rsidR="00197AA0">
              <w:trPr>
                <w:tblCellSpacing w:w="0" w:type="dxa"/>
                <w:jc w:val="center"/>
              </w:trPr>
              <w:tc>
                <w:tcPr>
                  <w:tcW w:w="1300" w:type="pct"/>
                  <w:tcBorders>
                    <w:top w:val="nil"/>
                    <w:left w:val="nil"/>
                    <w:bottom w:val="nil"/>
                    <w:right w:val="nil"/>
                  </w:tcBorders>
                </w:tcPr>
                <w:p w:rsidR="00197AA0" w:rsidRDefault="00197AA0">
                  <w:pPr>
                    <w:ind w:right="44"/>
                    <w:rPr>
                      <w:rFonts w:ascii="Arial" w:hAnsi="Arial" w:cs="Arial"/>
                      <w:sz w:val="18"/>
                      <w:szCs w:val="18"/>
                    </w:rPr>
                  </w:pPr>
                  <w:r>
                    <w:rPr>
                      <w:rFonts w:ascii="Arial" w:hAnsi="Arial" w:cs="Arial"/>
                      <w:b/>
                      <w:bCs/>
                      <w:sz w:val="18"/>
                      <w:szCs w:val="18"/>
                    </w:rPr>
                    <w:t>Propietario:</w:t>
                  </w:r>
                </w:p>
              </w:tc>
              <w:tc>
                <w:tcPr>
                  <w:tcW w:w="3700" w:type="pct"/>
                  <w:tcBorders>
                    <w:top w:val="nil"/>
                    <w:left w:val="nil"/>
                    <w:bottom w:val="nil"/>
                    <w:right w:val="nil"/>
                  </w:tcBorders>
                  <w:vAlign w:val="center"/>
                </w:tcPr>
                <w:p w:rsidR="00197AA0" w:rsidRDefault="00197AA0">
                  <w:pPr>
                    <w:ind w:right="44"/>
                    <w:rPr>
                      <w:rFonts w:ascii="Arial" w:hAnsi="Arial" w:cs="Arial"/>
                      <w:sz w:val="18"/>
                      <w:szCs w:val="18"/>
                    </w:rPr>
                  </w:pPr>
                  <w:r>
                    <w:rPr>
                      <w:rFonts w:ascii="Arial" w:hAnsi="Arial" w:cs="Arial"/>
                      <w:sz w:val="18"/>
                      <w:szCs w:val="18"/>
                    </w:rPr>
                    <w:t xml:space="preserve">Mare Shipping Inc., Registrada en Liberia </w:t>
                  </w:r>
                </w:p>
              </w:tc>
            </w:tr>
            <w:tr w:rsidR="00197AA0">
              <w:trPr>
                <w:tblCellSpacing w:w="0" w:type="dxa"/>
                <w:jc w:val="center"/>
              </w:trPr>
              <w:tc>
                <w:tcPr>
                  <w:tcW w:w="1300" w:type="pct"/>
                  <w:tcBorders>
                    <w:top w:val="nil"/>
                    <w:left w:val="nil"/>
                    <w:bottom w:val="nil"/>
                    <w:right w:val="nil"/>
                  </w:tcBorders>
                </w:tcPr>
                <w:p w:rsidR="00197AA0" w:rsidRDefault="00197AA0">
                  <w:pPr>
                    <w:ind w:right="44"/>
                    <w:rPr>
                      <w:rFonts w:ascii="Arial" w:hAnsi="Arial" w:cs="Arial"/>
                      <w:sz w:val="18"/>
                      <w:szCs w:val="18"/>
                    </w:rPr>
                  </w:pPr>
                  <w:r>
                    <w:rPr>
                      <w:rFonts w:ascii="Arial" w:hAnsi="Arial" w:cs="Arial"/>
                      <w:b/>
                      <w:bCs/>
                      <w:sz w:val="18"/>
                      <w:szCs w:val="18"/>
                    </w:rPr>
                    <w:t>Director:</w:t>
                  </w:r>
                </w:p>
              </w:tc>
              <w:tc>
                <w:tcPr>
                  <w:tcW w:w="3700" w:type="pct"/>
                  <w:tcBorders>
                    <w:top w:val="nil"/>
                    <w:left w:val="nil"/>
                    <w:bottom w:val="nil"/>
                    <w:right w:val="nil"/>
                  </w:tcBorders>
                  <w:vAlign w:val="center"/>
                </w:tcPr>
                <w:p w:rsidR="00197AA0" w:rsidRDefault="00197AA0">
                  <w:pPr>
                    <w:ind w:right="44"/>
                    <w:rPr>
                      <w:rFonts w:ascii="Arial" w:hAnsi="Arial" w:cs="Arial"/>
                      <w:sz w:val="18"/>
                      <w:szCs w:val="18"/>
                    </w:rPr>
                  </w:pPr>
                  <w:r>
                    <w:rPr>
                      <w:rFonts w:ascii="Arial" w:hAnsi="Arial" w:cs="Arial"/>
                      <w:sz w:val="18"/>
                      <w:szCs w:val="18"/>
                    </w:rPr>
                    <w:t>Universe Maritime Ltd., Grecia</w:t>
                  </w:r>
                </w:p>
              </w:tc>
            </w:tr>
            <w:tr w:rsidR="00197AA0">
              <w:trPr>
                <w:tblCellSpacing w:w="0" w:type="dxa"/>
                <w:jc w:val="center"/>
              </w:trPr>
              <w:tc>
                <w:tcPr>
                  <w:tcW w:w="1300" w:type="pct"/>
                  <w:tcBorders>
                    <w:top w:val="nil"/>
                    <w:left w:val="nil"/>
                    <w:bottom w:val="nil"/>
                    <w:right w:val="nil"/>
                  </w:tcBorders>
                </w:tcPr>
                <w:p w:rsidR="00197AA0" w:rsidRDefault="00197AA0">
                  <w:pPr>
                    <w:ind w:right="44"/>
                    <w:rPr>
                      <w:rFonts w:ascii="Arial" w:hAnsi="Arial" w:cs="Arial"/>
                      <w:sz w:val="18"/>
                      <w:szCs w:val="18"/>
                    </w:rPr>
                  </w:pPr>
                  <w:r>
                    <w:rPr>
                      <w:rFonts w:ascii="Arial" w:hAnsi="Arial" w:cs="Arial"/>
                      <w:b/>
                      <w:bCs/>
                      <w:sz w:val="18"/>
                      <w:szCs w:val="18"/>
                    </w:rPr>
                    <w:t>Clase:</w:t>
                  </w:r>
                </w:p>
              </w:tc>
              <w:tc>
                <w:tcPr>
                  <w:tcW w:w="3700" w:type="pct"/>
                  <w:tcBorders>
                    <w:top w:val="nil"/>
                    <w:left w:val="nil"/>
                    <w:bottom w:val="nil"/>
                    <w:right w:val="nil"/>
                  </w:tcBorders>
                  <w:vAlign w:val="center"/>
                </w:tcPr>
                <w:p w:rsidR="00197AA0" w:rsidRDefault="00197AA0">
                  <w:pPr>
                    <w:ind w:right="44"/>
                    <w:rPr>
                      <w:rFonts w:ascii="Arial" w:hAnsi="Arial" w:cs="Arial"/>
                      <w:sz w:val="18"/>
                      <w:szCs w:val="18"/>
                    </w:rPr>
                  </w:pPr>
                  <w:r>
                    <w:rPr>
                      <w:rFonts w:ascii="Arial" w:hAnsi="Arial" w:cs="Arial"/>
                      <w:sz w:val="18"/>
                      <w:szCs w:val="18"/>
                    </w:rPr>
                    <w:t xml:space="preserve">ABS </w:t>
                  </w:r>
                </w:p>
              </w:tc>
            </w:tr>
            <w:tr w:rsidR="00197AA0">
              <w:trPr>
                <w:tblCellSpacing w:w="0" w:type="dxa"/>
                <w:jc w:val="center"/>
              </w:trPr>
              <w:tc>
                <w:tcPr>
                  <w:tcW w:w="1300" w:type="pct"/>
                  <w:tcBorders>
                    <w:top w:val="nil"/>
                    <w:left w:val="nil"/>
                    <w:bottom w:val="nil"/>
                    <w:right w:val="nil"/>
                  </w:tcBorders>
                </w:tcPr>
                <w:p w:rsidR="00197AA0" w:rsidRDefault="00197AA0">
                  <w:pPr>
                    <w:ind w:right="44"/>
                    <w:rPr>
                      <w:rFonts w:ascii="Arial" w:hAnsi="Arial" w:cs="Arial"/>
                      <w:sz w:val="18"/>
                      <w:szCs w:val="18"/>
                    </w:rPr>
                  </w:pPr>
                  <w:r>
                    <w:rPr>
                      <w:rFonts w:ascii="Arial" w:hAnsi="Arial" w:cs="Arial"/>
                      <w:b/>
                      <w:bCs/>
                      <w:sz w:val="18"/>
                      <w:szCs w:val="18"/>
                    </w:rPr>
                    <w:t>Pabellón:</w:t>
                  </w:r>
                </w:p>
              </w:tc>
              <w:tc>
                <w:tcPr>
                  <w:tcW w:w="3700" w:type="pct"/>
                  <w:tcBorders>
                    <w:top w:val="nil"/>
                    <w:left w:val="nil"/>
                    <w:bottom w:val="nil"/>
                    <w:right w:val="nil"/>
                  </w:tcBorders>
                  <w:vAlign w:val="center"/>
                </w:tcPr>
                <w:p w:rsidR="00197AA0" w:rsidRDefault="00197AA0">
                  <w:pPr>
                    <w:ind w:right="44"/>
                    <w:rPr>
                      <w:rFonts w:ascii="Arial" w:hAnsi="Arial" w:cs="Arial"/>
                      <w:sz w:val="18"/>
                      <w:szCs w:val="18"/>
                    </w:rPr>
                  </w:pPr>
                  <w:r>
                    <w:rPr>
                      <w:rFonts w:ascii="Arial" w:hAnsi="Arial" w:cs="Arial"/>
                      <w:sz w:val="18"/>
                      <w:szCs w:val="18"/>
                    </w:rPr>
                    <w:t xml:space="preserve">Bahamas </w:t>
                  </w:r>
                </w:p>
              </w:tc>
            </w:tr>
          </w:tbl>
          <w:p w:rsidR="00197AA0" w:rsidRDefault="00197AA0">
            <w:pPr>
              <w:ind w:right="44"/>
              <w:rPr>
                <w:rFonts w:ascii="Arial" w:hAnsi="Arial" w:cs="Arial"/>
                <w:sz w:val="18"/>
                <w:szCs w:val="18"/>
              </w:rPr>
            </w:pPr>
          </w:p>
        </w:tc>
        <w:tc>
          <w:tcPr>
            <w:tcW w:w="2474" w:type="pct"/>
            <w:tcBorders>
              <w:top w:val="outset" w:sz="6" w:space="0" w:color="auto"/>
              <w:left w:val="outset" w:sz="6" w:space="0" w:color="auto"/>
              <w:bottom w:val="outset" w:sz="6" w:space="0" w:color="auto"/>
            </w:tcBorders>
            <w:tcMar>
              <w:top w:w="15" w:type="dxa"/>
              <w:left w:w="15" w:type="dxa"/>
              <w:bottom w:w="15" w:type="dxa"/>
              <w:right w:w="15" w:type="dxa"/>
            </w:tcMar>
            <w:vAlign w:val="center"/>
          </w:tcPr>
          <w:tbl>
            <w:tblPr>
              <w:tblW w:w="5000" w:type="pct"/>
              <w:tblCellSpacing w:w="15" w:type="dxa"/>
              <w:tblLook w:val="00A0"/>
            </w:tblPr>
            <w:tblGrid>
              <w:gridCol w:w="1330"/>
              <w:gridCol w:w="3044"/>
            </w:tblGrid>
            <w:tr w:rsidR="00197AA0">
              <w:trPr>
                <w:trHeight w:val="360"/>
                <w:tblCellSpacing w:w="15" w:type="dxa"/>
              </w:trPr>
              <w:tc>
                <w:tcPr>
                  <w:tcW w:w="1500" w:type="pct"/>
                  <w:tcBorders>
                    <w:top w:val="nil"/>
                    <w:left w:val="nil"/>
                    <w:bottom w:val="nil"/>
                    <w:right w:val="nil"/>
                  </w:tcBorders>
                  <w:tcMar>
                    <w:top w:w="15" w:type="dxa"/>
                    <w:left w:w="15" w:type="dxa"/>
                    <w:bottom w:w="15" w:type="dxa"/>
                    <w:right w:w="15" w:type="dxa"/>
                  </w:tcMar>
                </w:tcPr>
                <w:p w:rsidR="00197AA0" w:rsidRDefault="00197AA0">
                  <w:pPr>
                    <w:ind w:right="44"/>
                    <w:rPr>
                      <w:rFonts w:ascii="Arial" w:hAnsi="Arial" w:cs="Arial"/>
                      <w:sz w:val="18"/>
                      <w:szCs w:val="18"/>
                    </w:rPr>
                  </w:pPr>
                  <w:r>
                    <w:rPr>
                      <w:rFonts w:ascii="Arial" w:hAnsi="Arial" w:cs="Arial"/>
                      <w:b/>
                      <w:bCs/>
                      <w:sz w:val="18"/>
                      <w:szCs w:val="18"/>
                    </w:rPr>
                    <w:t>Marpol 13G Fecha de retiro:</w:t>
                  </w:r>
                </w:p>
              </w:tc>
              <w:tc>
                <w:tcPr>
                  <w:tcW w:w="3500" w:type="pct"/>
                  <w:tcBorders>
                    <w:top w:val="nil"/>
                    <w:left w:val="nil"/>
                    <w:bottom w:val="nil"/>
                    <w:right w:val="nil"/>
                  </w:tcBorders>
                  <w:tcMar>
                    <w:top w:w="15" w:type="dxa"/>
                    <w:left w:w="15" w:type="dxa"/>
                    <w:bottom w:w="15" w:type="dxa"/>
                    <w:right w:w="15" w:type="dxa"/>
                  </w:tcMar>
                  <w:vAlign w:val="center"/>
                </w:tcPr>
                <w:p w:rsidR="00197AA0" w:rsidRDefault="00197AA0">
                  <w:pPr>
                    <w:ind w:right="44"/>
                    <w:rPr>
                      <w:rFonts w:ascii="Arial" w:hAnsi="Arial" w:cs="Arial"/>
                      <w:sz w:val="18"/>
                      <w:szCs w:val="18"/>
                    </w:rPr>
                  </w:pPr>
                  <w:r>
                    <w:rPr>
                      <w:rFonts w:ascii="Arial" w:hAnsi="Arial" w:cs="Arial"/>
                      <w:sz w:val="18"/>
                      <w:szCs w:val="18"/>
                    </w:rPr>
                    <w:t>11 Marzo 2005</w:t>
                  </w:r>
                </w:p>
              </w:tc>
            </w:tr>
            <w:tr w:rsidR="00197AA0">
              <w:trPr>
                <w:tblCellSpacing w:w="15" w:type="dxa"/>
              </w:trPr>
              <w:tc>
                <w:tcPr>
                  <w:tcW w:w="1500" w:type="pct"/>
                  <w:tcBorders>
                    <w:top w:val="nil"/>
                    <w:left w:val="nil"/>
                    <w:bottom w:val="nil"/>
                    <w:right w:val="nil"/>
                  </w:tcBorders>
                  <w:tcMar>
                    <w:top w:w="15" w:type="dxa"/>
                    <w:left w:w="15" w:type="dxa"/>
                    <w:bottom w:w="15" w:type="dxa"/>
                    <w:right w:w="15" w:type="dxa"/>
                  </w:tcMar>
                </w:tcPr>
                <w:p w:rsidR="00197AA0" w:rsidRDefault="00197AA0">
                  <w:pPr>
                    <w:ind w:right="44"/>
                    <w:rPr>
                      <w:rFonts w:ascii="Arial" w:hAnsi="Arial" w:cs="Arial"/>
                      <w:sz w:val="18"/>
                      <w:szCs w:val="18"/>
                    </w:rPr>
                  </w:pPr>
                  <w:r>
                    <w:rPr>
                      <w:rFonts w:ascii="Arial" w:hAnsi="Arial" w:cs="Arial"/>
                      <w:b/>
                      <w:bCs/>
                      <w:sz w:val="18"/>
                      <w:szCs w:val="18"/>
                    </w:rPr>
                    <w:t>Peso muerto:</w:t>
                  </w:r>
                </w:p>
              </w:tc>
              <w:tc>
                <w:tcPr>
                  <w:tcW w:w="3500" w:type="pct"/>
                  <w:tcBorders>
                    <w:top w:val="nil"/>
                    <w:left w:val="nil"/>
                    <w:bottom w:val="nil"/>
                    <w:right w:val="nil"/>
                  </w:tcBorders>
                  <w:tcMar>
                    <w:top w:w="15" w:type="dxa"/>
                    <w:left w:w="15" w:type="dxa"/>
                    <w:bottom w:w="15" w:type="dxa"/>
                    <w:right w:w="15" w:type="dxa"/>
                  </w:tcMar>
                  <w:vAlign w:val="center"/>
                </w:tcPr>
                <w:p w:rsidR="00197AA0" w:rsidRDefault="00197AA0">
                  <w:pPr>
                    <w:ind w:right="44"/>
                    <w:rPr>
                      <w:rFonts w:ascii="Arial" w:hAnsi="Arial" w:cs="Arial"/>
                      <w:sz w:val="18"/>
                      <w:szCs w:val="18"/>
                    </w:rPr>
                  </w:pPr>
                  <w:r>
                    <w:rPr>
                      <w:rFonts w:ascii="Arial" w:hAnsi="Arial" w:cs="Arial"/>
                      <w:sz w:val="18"/>
                      <w:szCs w:val="18"/>
                    </w:rPr>
                    <w:t>81,589 toneladas</w:t>
                  </w:r>
                </w:p>
              </w:tc>
            </w:tr>
            <w:tr w:rsidR="00197AA0">
              <w:trPr>
                <w:tblCellSpacing w:w="15" w:type="dxa"/>
              </w:trPr>
              <w:tc>
                <w:tcPr>
                  <w:tcW w:w="1500" w:type="pct"/>
                  <w:tcBorders>
                    <w:top w:val="nil"/>
                    <w:left w:val="nil"/>
                    <w:bottom w:val="nil"/>
                    <w:right w:val="nil"/>
                  </w:tcBorders>
                  <w:tcMar>
                    <w:top w:w="15" w:type="dxa"/>
                    <w:left w:w="15" w:type="dxa"/>
                    <w:bottom w:w="15" w:type="dxa"/>
                    <w:right w:w="15" w:type="dxa"/>
                  </w:tcMar>
                </w:tcPr>
                <w:p w:rsidR="00197AA0" w:rsidRDefault="00197AA0">
                  <w:pPr>
                    <w:ind w:right="44"/>
                    <w:rPr>
                      <w:rFonts w:ascii="Arial" w:hAnsi="Arial" w:cs="Arial"/>
                      <w:sz w:val="18"/>
                      <w:szCs w:val="18"/>
                    </w:rPr>
                  </w:pPr>
                  <w:r>
                    <w:rPr>
                      <w:rFonts w:ascii="Arial" w:hAnsi="Arial" w:cs="Arial"/>
                      <w:b/>
                      <w:bCs/>
                      <w:sz w:val="18"/>
                      <w:szCs w:val="18"/>
                    </w:rPr>
                    <w:t xml:space="preserve">Tonelaje bruto: </w:t>
                  </w:r>
                </w:p>
              </w:tc>
              <w:tc>
                <w:tcPr>
                  <w:tcW w:w="3500" w:type="pct"/>
                  <w:tcBorders>
                    <w:top w:val="nil"/>
                    <w:left w:val="nil"/>
                    <w:bottom w:val="nil"/>
                    <w:right w:val="nil"/>
                  </w:tcBorders>
                  <w:tcMar>
                    <w:top w:w="15" w:type="dxa"/>
                    <w:left w:w="15" w:type="dxa"/>
                    <w:bottom w:w="15" w:type="dxa"/>
                    <w:right w:w="15" w:type="dxa"/>
                  </w:tcMar>
                  <w:vAlign w:val="center"/>
                </w:tcPr>
                <w:p w:rsidR="00197AA0" w:rsidRDefault="00197AA0">
                  <w:pPr>
                    <w:ind w:right="44"/>
                    <w:rPr>
                      <w:rFonts w:ascii="Arial" w:hAnsi="Arial" w:cs="Arial"/>
                      <w:sz w:val="18"/>
                      <w:szCs w:val="18"/>
                    </w:rPr>
                  </w:pPr>
                  <w:r>
                    <w:rPr>
                      <w:rFonts w:ascii="Arial" w:hAnsi="Arial" w:cs="Arial"/>
                      <w:sz w:val="18"/>
                      <w:szCs w:val="18"/>
                    </w:rPr>
                    <w:t>42,820</w:t>
                  </w:r>
                </w:p>
              </w:tc>
            </w:tr>
          </w:tbl>
          <w:p w:rsidR="00197AA0" w:rsidRDefault="00197AA0">
            <w:pPr>
              <w:ind w:right="44"/>
              <w:rPr>
                <w:rFonts w:ascii="Arial" w:hAnsi="Arial" w:cs="Arial"/>
                <w:vanish/>
                <w:sz w:val="18"/>
                <w:szCs w:val="18"/>
              </w:rPr>
            </w:pPr>
          </w:p>
          <w:tbl>
            <w:tblPr>
              <w:tblW w:w="0" w:type="auto"/>
              <w:tblCellSpacing w:w="15" w:type="dxa"/>
              <w:tblLook w:val="00A0"/>
            </w:tblPr>
            <w:tblGrid>
              <w:gridCol w:w="1560"/>
              <w:gridCol w:w="2814"/>
            </w:tblGrid>
            <w:tr w:rsidR="00197AA0">
              <w:trPr>
                <w:tblCellSpacing w:w="15" w:type="dxa"/>
              </w:trPr>
              <w:tc>
                <w:tcPr>
                  <w:tcW w:w="1200" w:type="pct"/>
                  <w:tcBorders>
                    <w:top w:val="nil"/>
                    <w:left w:val="nil"/>
                    <w:bottom w:val="nil"/>
                    <w:right w:val="nil"/>
                  </w:tcBorders>
                  <w:tcMar>
                    <w:top w:w="15" w:type="dxa"/>
                    <w:left w:w="15" w:type="dxa"/>
                    <w:bottom w:w="15" w:type="dxa"/>
                    <w:right w:w="15" w:type="dxa"/>
                  </w:tcMar>
                </w:tcPr>
                <w:p w:rsidR="00197AA0" w:rsidRDefault="00197AA0">
                  <w:pPr>
                    <w:ind w:right="44"/>
                    <w:rPr>
                      <w:rFonts w:ascii="Arial" w:hAnsi="Arial" w:cs="Arial"/>
                      <w:sz w:val="18"/>
                      <w:szCs w:val="18"/>
                    </w:rPr>
                  </w:pPr>
                  <w:r>
                    <w:rPr>
                      <w:rFonts w:ascii="Arial" w:hAnsi="Arial" w:cs="Arial"/>
                      <w:b/>
                      <w:bCs/>
                      <w:sz w:val="18"/>
                      <w:szCs w:val="18"/>
                    </w:rPr>
                    <w:t>P&amp;I Cobertura:</w:t>
                  </w:r>
                </w:p>
              </w:tc>
              <w:tc>
                <w:tcPr>
                  <w:tcW w:w="3800" w:type="pct"/>
                  <w:tcBorders>
                    <w:top w:val="nil"/>
                    <w:left w:val="nil"/>
                    <w:bottom w:val="nil"/>
                    <w:right w:val="nil"/>
                  </w:tcBorders>
                  <w:tcMar>
                    <w:top w:w="15" w:type="dxa"/>
                    <w:left w:w="15" w:type="dxa"/>
                    <w:bottom w:w="15" w:type="dxa"/>
                    <w:right w:w="15" w:type="dxa"/>
                  </w:tcMar>
                  <w:vAlign w:val="center"/>
                </w:tcPr>
                <w:p w:rsidR="00197AA0" w:rsidRDefault="00197AA0">
                  <w:pPr>
                    <w:ind w:right="44"/>
                    <w:rPr>
                      <w:rFonts w:ascii="Arial" w:hAnsi="Arial" w:cs="Arial"/>
                      <w:sz w:val="18"/>
                      <w:szCs w:val="18"/>
                    </w:rPr>
                  </w:pPr>
                  <w:r>
                    <w:rPr>
                      <w:rFonts w:ascii="Arial" w:hAnsi="Arial" w:cs="Arial"/>
                      <w:sz w:val="18"/>
                      <w:szCs w:val="18"/>
                    </w:rPr>
                    <w:t xml:space="preserve">London Steamship Owners Association </w:t>
                  </w:r>
                </w:p>
              </w:tc>
            </w:tr>
            <w:tr w:rsidR="00197AA0">
              <w:trPr>
                <w:tblCellSpacing w:w="15" w:type="dxa"/>
              </w:trPr>
              <w:tc>
                <w:tcPr>
                  <w:tcW w:w="1200" w:type="pct"/>
                  <w:tcBorders>
                    <w:top w:val="nil"/>
                    <w:left w:val="nil"/>
                    <w:bottom w:val="nil"/>
                    <w:right w:val="nil"/>
                  </w:tcBorders>
                  <w:tcMar>
                    <w:top w:w="15" w:type="dxa"/>
                    <w:left w:w="15" w:type="dxa"/>
                    <w:bottom w:w="15" w:type="dxa"/>
                    <w:right w:w="15" w:type="dxa"/>
                  </w:tcMar>
                </w:tcPr>
                <w:p w:rsidR="00197AA0" w:rsidRDefault="00197AA0">
                  <w:pPr>
                    <w:ind w:right="44"/>
                    <w:rPr>
                      <w:rFonts w:ascii="Arial" w:hAnsi="Arial" w:cs="Arial"/>
                      <w:b/>
                      <w:bCs/>
                      <w:sz w:val="18"/>
                      <w:szCs w:val="18"/>
                    </w:rPr>
                  </w:pPr>
                  <w:r>
                    <w:rPr>
                      <w:rFonts w:ascii="Arial" w:hAnsi="Arial" w:cs="Arial"/>
                      <w:b/>
                      <w:bCs/>
                      <w:sz w:val="18"/>
                      <w:szCs w:val="18"/>
                    </w:rPr>
                    <w:t>Responsabilidad de contaminación:</w:t>
                  </w:r>
                </w:p>
              </w:tc>
              <w:tc>
                <w:tcPr>
                  <w:tcW w:w="3800" w:type="pct"/>
                  <w:tcBorders>
                    <w:top w:val="nil"/>
                    <w:left w:val="nil"/>
                    <w:bottom w:val="nil"/>
                    <w:right w:val="nil"/>
                  </w:tcBorders>
                  <w:tcMar>
                    <w:top w:w="15" w:type="dxa"/>
                    <w:left w:w="15" w:type="dxa"/>
                    <w:bottom w:w="15" w:type="dxa"/>
                    <w:right w:w="15" w:type="dxa"/>
                  </w:tcMar>
                  <w:vAlign w:val="center"/>
                </w:tcPr>
                <w:p w:rsidR="00197AA0" w:rsidRDefault="00197AA0">
                  <w:pPr>
                    <w:ind w:right="44"/>
                    <w:rPr>
                      <w:rFonts w:ascii="Arial" w:hAnsi="Arial" w:cs="Arial"/>
                      <w:sz w:val="18"/>
                      <w:szCs w:val="18"/>
                    </w:rPr>
                  </w:pPr>
                  <w:r>
                    <w:rPr>
                      <w:rFonts w:ascii="Arial" w:hAnsi="Arial" w:cs="Arial"/>
                      <w:sz w:val="18"/>
                      <w:szCs w:val="18"/>
                    </w:rPr>
                    <w:t>Los operadores declaran que el Embarque de Yegua  estaba totalmente  cubierto para la responsabilidad de contaminación del armador dentro del Fondo de Compensación de Contaminación del petróleo Internacional</w:t>
                  </w:r>
                </w:p>
              </w:tc>
            </w:tr>
          </w:tbl>
          <w:p w:rsidR="00197AA0" w:rsidRDefault="00197AA0">
            <w:pPr>
              <w:ind w:right="44"/>
              <w:rPr>
                <w:rFonts w:ascii="Arial" w:hAnsi="Arial" w:cs="Arial"/>
                <w:sz w:val="18"/>
                <w:szCs w:val="18"/>
              </w:rPr>
            </w:pPr>
          </w:p>
        </w:tc>
      </w:tr>
    </w:tbl>
    <w:p w:rsidR="00197AA0" w:rsidRDefault="00197AA0" w:rsidP="00232C32">
      <w:pPr>
        <w:ind w:right="44"/>
        <w:jc w:val="both"/>
        <w:rPr>
          <w:rFonts w:ascii="Arial" w:hAnsi="Arial" w:cs="Arial"/>
          <w:sz w:val="18"/>
          <w:szCs w:val="18"/>
          <w:lang w:eastAsia="en-US"/>
        </w:rPr>
      </w:pPr>
      <w:r>
        <w:rPr>
          <w:rFonts w:ascii="Arial" w:hAnsi="Arial" w:cs="Arial"/>
          <w:sz w:val="18"/>
          <w:szCs w:val="18"/>
        </w:rPr>
        <w:t>Fuente: http://www.derechomaritimo.info/pagina/prestige.htm</w:t>
      </w:r>
    </w:p>
    <w:p w:rsidR="00197AA0" w:rsidRDefault="00197AA0" w:rsidP="00232C32">
      <w:pPr>
        <w:autoSpaceDE w:val="0"/>
        <w:autoSpaceDN w:val="0"/>
        <w:adjustRightInd w:val="0"/>
        <w:spacing w:line="360" w:lineRule="auto"/>
        <w:ind w:right="44" w:firstLine="567"/>
        <w:jc w:val="both"/>
        <w:rPr>
          <w:rFonts w:ascii="Arial" w:hAnsi="Arial" w:cs="Arial"/>
          <w:color w:val="000000"/>
          <w:sz w:val="22"/>
          <w:szCs w:val="22"/>
        </w:rPr>
      </w:pP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rPr>
      </w:pPr>
      <w:r w:rsidRPr="00201277">
        <w:rPr>
          <w:rFonts w:ascii="Arial" w:hAnsi="Arial" w:cs="Arial"/>
          <w:sz w:val="22"/>
          <w:szCs w:val="22"/>
        </w:rPr>
        <w:t>El Prestige era un buque monocasco</w:t>
      </w:r>
      <w:r w:rsidRPr="00201277">
        <w:rPr>
          <w:rStyle w:val="Refdenotaalpie"/>
          <w:rFonts w:ascii="Arial" w:hAnsi="Arial" w:cs="Arial"/>
          <w:sz w:val="22"/>
          <w:szCs w:val="22"/>
        </w:rPr>
        <w:footnoteReference w:customMarkFollows="1" w:id="58"/>
        <w:sym w:font="Symbol" w:char="F02A"/>
      </w:r>
      <w:r w:rsidRPr="00201277">
        <w:rPr>
          <w:rFonts w:ascii="Arial" w:hAnsi="Arial" w:cs="Arial"/>
          <w:sz w:val="22"/>
          <w:szCs w:val="22"/>
        </w:rPr>
        <w:t xml:space="preserve">, construido en Japón en el año de 1976 y que además estaba asegurado en veinticuatro millones de euros que se dedicaba al transporte marítimo de hidrocarburos. Cargaba 76,973 toneladas de fuel oil del tipo M-100, procedente de Rusia y Letonia, cuando el día 13 de noviembre comenzó a escorarse a 28 millas de Finesterre. El Prestige, como tantos otros buques, llevaba bandera de conveniencia  de Bahamas. </w:t>
      </w: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rPr>
      </w:pP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rPr>
      </w:pPr>
      <w:r w:rsidRPr="00201277">
        <w:rPr>
          <w:rFonts w:ascii="Arial" w:hAnsi="Arial" w:cs="Arial"/>
          <w:sz w:val="22"/>
          <w:szCs w:val="22"/>
        </w:rPr>
        <w:t xml:space="preserve">Es importante mencionar que el Prestige era propiedad de un grupo marítimo griego relacionado con la familia Coulouthros, que había matriculado el buque en Bahamas como perteneciente a una sociedad registrada en Liberia, Mare Shipping Inc. La gestión náutica del buque, encargada de la explotación comercial, la tripulación y en general el dominio real y útil de la nave, estaba contratada a otra empresa ad hoc del mismo grupo que  era la  Universe Maritime Ltd. </w:t>
      </w: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rPr>
      </w:pPr>
    </w:p>
    <w:p w:rsidR="00197AA0" w:rsidRDefault="001D7573" w:rsidP="00232C32">
      <w:pPr>
        <w:autoSpaceDE w:val="0"/>
        <w:autoSpaceDN w:val="0"/>
        <w:adjustRightInd w:val="0"/>
        <w:spacing w:line="360" w:lineRule="auto"/>
        <w:ind w:right="44" w:firstLine="567"/>
        <w:jc w:val="both"/>
        <w:rPr>
          <w:rFonts w:ascii="Arial" w:hAnsi="Arial" w:cs="Arial"/>
          <w:sz w:val="22"/>
          <w:szCs w:val="22"/>
        </w:rPr>
      </w:pPr>
      <w:r>
        <w:rPr>
          <w:rFonts w:ascii="Arial" w:hAnsi="Arial" w:cs="Arial"/>
          <w:noProof/>
          <w:sz w:val="22"/>
          <w:szCs w:val="22"/>
        </w:rPr>
        <w:lastRenderedPageBreak/>
        <w:pict>
          <v:shape id="_x0000_s1075" type="#_x0000_t202" style="position:absolute;left:0;text-align:left;margin-left:179.4pt;margin-top:98.8pt;width:31.8pt;height:21pt;z-index:251702272;mso-height-percent:200;mso-height-percent:200;mso-width-relative:margin;mso-height-relative:margin" fillcolor="white [3212]" stroked="f">
            <v:textbox style="mso-next-textbox:#_x0000_s1075;mso-fit-shape-to-text:t">
              <w:txbxContent>
                <w:p w:rsidR="00AC7D7B" w:rsidRDefault="00AC7D7B" w:rsidP="00F014B5">
                  <w:r>
                    <w:t>28</w:t>
                  </w:r>
                </w:p>
              </w:txbxContent>
            </v:textbox>
          </v:shape>
        </w:pict>
      </w:r>
      <w:r w:rsidR="00197AA0" w:rsidRPr="00201277">
        <w:rPr>
          <w:rFonts w:ascii="Arial" w:hAnsi="Arial" w:cs="Arial"/>
          <w:sz w:val="22"/>
          <w:szCs w:val="22"/>
        </w:rPr>
        <w:t>También es interesante destacar que esta complejidad societaria, tramada a fin de operar con la máxima opacidad y el mínimo riesgo ante posibles demandas de responsabilidad civil, resulta  corriente en el mundo del transporte marítimo de productos petrolíferos y puede afirmarse que la mayoría de los buques petroleros en activo, cualquiera que sea su edad y la nacionalidad real de sus propietarios, responden a este mismo esquema empresarial: bandera de conveniencia, sociedad ficticia domiciliada en un paraíso fiscal que consta como propietaria del buque, y una sociedad creada para gestionar su explotación comercial, ubicada en cualquiera de los centros económicos del mundo marítimo tales como: Londres, Rotterdam, Lugano, Houston, Atenas, etc. Es esta compañía la que alquila el buque, en fletamento por tiempo o por viaje, que, al amparo de los grandes grupos petroleros, mueven el comercio del petróleo.</w:t>
      </w: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rPr>
      </w:pP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Ante esta pequeña reseña histórica es primordial subrayar que este accidente sucedió concretamente el día 13 de noviembre del año 2002, que concluyó con la quiebra del petrolero y su posterior hundimiento se presentó a una profundidad de 3.700 metros, en la mañana del día 19 de noviembre, este mismo navegaba cargando 77,000 toneladas de fuel. Se desató una vía de agua que se produjo al desprenderse alguna plancha del casco por la fatiga del material, consecuencia del mal estado de conservación de la nave. El mar inunda el tanque de lastre, que estaba vacío y situado en el lateral del petrolero, lo que provocó una fuerte escora, esto dio lugar al vertido que provocó  la primera mancha de fuel, al parecer la gravedad de la avería del buque llegaba a quedar escorado hasta 45º y se decide evacuar a la mayoría de los tripulantes. </w:t>
      </w: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lang w:val="es-SV"/>
        </w:rPr>
      </w:pP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Ante esto quedaron a bordo el capitán, el primer oficial y el jefe de máquinas para intentar salvar la carga que transportaban. Para ello llenan de agua el depósito de lastre del costado opuesto del buque, compensando la escora pero sometiendo la estructura del maltrecho petrolero a una tensión superior a la que éste puede aguantar. De esta manera se rajan los primeros depósitos de fuel, situados en la zona central del barco.</w:t>
      </w: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lang w:val="es-SV"/>
        </w:rPr>
      </w:pPr>
    </w:p>
    <w:p w:rsidR="00197AA0" w:rsidRDefault="001D7573" w:rsidP="00232C32">
      <w:pPr>
        <w:spacing w:line="360" w:lineRule="auto"/>
        <w:ind w:right="44" w:firstLine="567"/>
        <w:jc w:val="both"/>
        <w:rPr>
          <w:rFonts w:ascii="Arial" w:hAnsi="Arial" w:cs="Arial"/>
          <w:sz w:val="22"/>
          <w:szCs w:val="22"/>
          <w:lang w:val="es-SV"/>
        </w:rPr>
      </w:pPr>
      <w:r>
        <w:rPr>
          <w:rFonts w:ascii="Arial" w:hAnsi="Arial" w:cs="Arial"/>
          <w:noProof/>
          <w:sz w:val="22"/>
          <w:szCs w:val="22"/>
        </w:rPr>
        <w:pict>
          <v:shape id="_x0000_s1076" type="#_x0000_t202" style="position:absolute;left:0;text-align:left;margin-left:196.8pt;margin-top:148.9pt;width:31.8pt;height:21pt;z-index:251703296;mso-height-percent:200;mso-height-percent:200;mso-width-relative:margin;mso-height-relative:margin" fillcolor="white [3212]" stroked="f">
            <v:textbox style="mso-next-textbox:#_x0000_s1076;mso-fit-shape-to-text:t">
              <w:txbxContent>
                <w:p w:rsidR="00AC7D7B" w:rsidRDefault="00AC7D7B" w:rsidP="00F014B5">
                  <w:r>
                    <w:t>29</w:t>
                  </w:r>
                </w:p>
              </w:txbxContent>
            </v:textbox>
          </v:shape>
        </w:pict>
      </w:r>
      <w:r w:rsidR="00197AA0" w:rsidRPr="00201277">
        <w:rPr>
          <w:rFonts w:ascii="Arial" w:hAnsi="Arial" w:cs="Arial"/>
          <w:sz w:val="22"/>
          <w:szCs w:val="22"/>
          <w:lang w:val="es-SV"/>
        </w:rPr>
        <w:t xml:space="preserve">A lo largo del 14 de noviembre intentan desesperadamente llevar el barco al sur para buscar aguas más tranquilas para efectuar el transvase del fuel a otro navío. </w:t>
      </w:r>
      <w:r w:rsidR="00197AA0">
        <w:rPr>
          <w:rFonts w:ascii="Arial" w:hAnsi="Arial" w:cs="Arial"/>
          <w:sz w:val="22"/>
          <w:szCs w:val="22"/>
          <w:lang w:val="es-SV"/>
        </w:rPr>
        <w:t xml:space="preserve"> </w:t>
      </w:r>
      <w:r w:rsidR="00197AA0" w:rsidRPr="00201277">
        <w:rPr>
          <w:rFonts w:ascii="Arial" w:hAnsi="Arial" w:cs="Arial"/>
          <w:sz w:val="22"/>
          <w:szCs w:val="22"/>
          <w:lang w:val="es-SV"/>
        </w:rPr>
        <w:t xml:space="preserve">El 15 de noviembre las primeras manchas de fuel alcanzan la costa y se despliegan las primeras barreras de contención; la mancha no parecía gran cosa todavía y la administración aseguraba que no había destrozos medioambientales. Los mayores </w:t>
      </w:r>
      <w:r w:rsidR="00197AA0" w:rsidRPr="00201277">
        <w:rPr>
          <w:rFonts w:ascii="Arial" w:hAnsi="Arial" w:cs="Arial"/>
          <w:sz w:val="22"/>
          <w:szCs w:val="22"/>
          <w:lang w:val="es-SV"/>
        </w:rPr>
        <w:lastRenderedPageBreak/>
        <w:t xml:space="preserve">esfuerzos se concentraron en proteger el Aquarium Finisterrae, que precisamente se hallaba emplazado muy cerca de donde encalló el petrolero Mar Egeo hace 10 años. Se prohibió la pesca y el marisqueo en la zona afectada. </w:t>
      </w:r>
    </w:p>
    <w:p w:rsidR="00197AA0" w:rsidRPr="00201277" w:rsidRDefault="00197AA0" w:rsidP="00232C32">
      <w:pPr>
        <w:spacing w:line="360" w:lineRule="auto"/>
        <w:ind w:right="44" w:firstLine="567"/>
        <w:jc w:val="both"/>
        <w:rPr>
          <w:rFonts w:ascii="Arial" w:hAnsi="Arial" w:cs="Arial"/>
          <w:sz w:val="22"/>
          <w:szCs w:val="22"/>
          <w:lang w:val="es-SV"/>
        </w:rPr>
      </w:pPr>
    </w:p>
    <w:p w:rsidR="00197AA0" w:rsidRDefault="00197AA0" w:rsidP="00232C32">
      <w:pPr>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Finalmente a las 8:00 del 19 de noviembre de 2002 el Prestige se hundió, primero la popa, y después la proa, una gran mancha de fuel de unas 10,000 toneladas se formó en la zona, es lo que se conoció como la segunda marea negra. </w:t>
      </w:r>
    </w:p>
    <w:p w:rsidR="00197AA0" w:rsidRPr="00201277" w:rsidRDefault="00197AA0" w:rsidP="00232C32">
      <w:pPr>
        <w:spacing w:line="360" w:lineRule="auto"/>
        <w:ind w:right="44" w:firstLine="567"/>
        <w:jc w:val="both"/>
        <w:rPr>
          <w:rFonts w:ascii="Arial" w:hAnsi="Arial" w:cs="Arial"/>
          <w:sz w:val="22"/>
          <w:szCs w:val="22"/>
          <w:lang w:val="es-SV"/>
        </w:rPr>
      </w:pPr>
    </w:p>
    <w:p w:rsidR="00197AA0" w:rsidRDefault="00197AA0" w:rsidP="00232C32">
      <w:pPr>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Dos días más tarde se produce el primer acuerdo útil a nivel internacional: España y Francia acuerdan unilateralmente expulsar a los buques calificados como peligrosos de las aguas jurisdiccionales. En esta categoría se incluyen aquellos barcos de más de 20 años que transportaran  materias peligrosas a granel y que no poseían doble casco. </w:t>
      </w:r>
    </w:p>
    <w:p w:rsidR="00197AA0" w:rsidRPr="00201277" w:rsidRDefault="00197AA0" w:rsidP="00232C32">
      <w:pPr>
        <w:spacing w:line="360" w:lineRule="auto"/>
        <w:ind w:right="44" w:firstLine="567"/>
        <w:jc w:val="both"/>
        <w:rPr>
          <w:rFonts w:ascii="Arial" w:hAnsi="Arial" w:cs="Arial"/>
          <w:sz w:val="22"/>
          <w:szCs w:val="22"/>
          <w:lang w:val="es-SV"/>
        </w:rPr>
      </w:pPr>
    </w:p>
    <w:p w:rsidR="00197AA0" w:rsidRDefault="00197AA0" w:rsidP="00232C32">
      <w:pPr>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Las tareas de limpieza de las costas se vieron dificultadas por la falta de medios ya que se advirtió que el vertido era tóxico para las personas que trabajan en la descontaminación. </w:t>
      </w:r>
    </w:p>
    <w:p w:rsidR="00197AA0" w:rsidRPr="00201277" w:rsidRDefault="00197AA0" w:rsidP="00232C32">
      <w:pPr>
        <w:spacing w:line="360" w:lineRule="auto"/>
        <w:ind w:right="44" w:firstLine="567"/>
        <w:jc w:val="both"/>
        <w:rPr>
          <w:rFonts w:ascii="Arial" w:hAnsi="Arial" w:cs="Arial"/>
          <w:sz w:val="22"/>
          <w:szCs w:val="22"/>
          <w:lang w:val="es-SV"/>
        </w:rPr>
      </w:pPr>
    </w:p>
    <w:p w:rsidR="00197AA0" w:rsidRDefault="00197AA0" w:rsidP="00232C32">
      <w:pPr>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El 2 de diciembre, Santiago de Compostela fue escenario de la manifestación más numerosa en la historia de Galicia, más de 200,000 personas piden al mundo que no se repita nunca más un siniestro como el del Prestige. La sociedad se muestra indignada contra una catástrofe que podría haberse evitado, mientras, la segunda marea negra llega a la costa. </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El puente del 6 de diciembre marcó el comienzo de la afluencia masiva de voluntarios para colaborar en las tareas de descontaminación. Se calculan que, en los fines de semana acudían cerca de 7,000 voluntarios oficiales. Varias redes de voluntariado, formadas en colaboración con las cofradías de pescadores, permitían atender a los voluntarios y distribuir los recursos humanos donde más falta hacía. El ejército desplazó unos 2,000 soldados a la zona, mientras que unas 1,300 personas fueron empleadas por la empresa pública TRAGSA para la limpieza de playas. En total unas 10,000 personas</w:t>
      </w:r>
      <w:r w:rsidRPr="00201277">
        <w:rPr>
          <w:rStyle w:val="Refdenotaalpie"/>
          <w:rFonts w:ascii="Arial" w:hAnsi="Arial" w:cs="Arial"/>
          <w:sz w:val="22"/>
          <w:szCs w:val="22"/>
          <w:lang w:val="es-SV"/>
        </w:rPr>
        <w:footnoteReference w:id="59"/>
      </w:r>
      <w:r w:rsidRPr="00201277">
        <w:rPr>
          <w:rFonts w:ascii="Arial" w:hAnsi="Arial" w:cs="Arial"/>
          <w:sz w:val="22"/>
          <w:szCs w:val="22"/>
          <w:lang w:val="es-SV"/>
        </w:rPr>
        <w:t>.</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lang w:eastAsia="es-ES"/>
        </w:rPr>
        <w:lastRenderedPageBreak/>
        <w:pict>
          <v:shape id="_x0000_s1077" type="#_x0000_t202" style="position:absolute;left:0;text-align:left;margin-left:174.55pt;margin-top:98.25pt;width:31.8pt;height:21pt;z-index:251704320;mso-height-percent:200;mso-height-percent:200;mso-width-relative:margin;mso-height-relative:margin" fillcolor="white [3212]" stroked="f">
            <v:textbox style="mso-next-textbox:#_x0000_s1077;mso-fit-shape-to-text:t">
              <w:txbxContent>
                <w:p w:rsidR="00AC7D7B" w:rsidRDefault="00AC7D7B" w:rsidP="00F014B5">
                  <w:r>
                    <w:t>30</w:t>
                  </w:r>
                </w:p>
              </w:txbxContent>
            </v:textbox>
          </v:shape>
        </w:pict>
      </w:r>
      <w:r w:rsidR="00197AA0" w:rsidRPr="00201277">
        <w:rPr>
          <w:rFonts w:ascii="Arial" w:hAnsi="Arial" w:cs="Arial"/>
          <w:sz w:val="22"/>
          <w:szCs w:val="22"/>
        </w:rPr>
        <w:t>Luego de una serie de acontecimientos posteriores al accidente es necesario destacar la regulación internacional frente a la situación del Prestige, ya que como se mencionó anteriormente este buque era un petrolero de casco único perteneciente a la categoría 1 de los petroleros sujetos a la regla 13G</w:t>
      </w:r>
      <w:r w:rsidR="00197AA0" w:rsidRPr="00201277">
        <w:rPr>
          <w:rStyle w:val="Refdenotaalpie"/>
          <w:rFonts w:ascii="Arial" w:hAnsi="Arial" w:cs="Arial"/>
          <w:sz w:val="22"/>
          <w:szCs w:val="22"/>
        </w:rPr>
        <w:footnoteReference w:customMarkFollows="1" w:id="60"/>
        <w:sym w:font="Symbol" w:char="F02A"/>
      </w:r>
      <w:r w:rsidR="00197AA0" w:rsidRPr="00201277">
        <w:rPr>
          <w:rFonts w:ascii="Arial" w:hAnsi="Arial" w:cs="Arial"/>
          <w:sz w:val="22"/>
          <w:szCs w:val="22"/>
        </w:rPr>
        <w:t xml:space="preserve"> del Anexo I</w:t>
      </w:r>
      <w:r w:rsidR="00197AA0" w:rsidRPr="00201277">
        <w:rPr>
          <w:rStyle w:val="Refdenotaalpie"/>
          <w:rFonts w:ascii="Arial" w:hAnsi="Arial" w:cs="Arial"/>
          <w:sz w:val="22"/>
          <w:szCs w:val="22"/>
        </w:rPr>
        <w:footnoteReference w:customMarkFollows="1" w:id="61"/>
        <w:sym w:font="Symbol" w:char="F02A"/>
      </w:r>
      <w:r w:rsidR="00197AA0" w:rsidRPr="00201277">
        <w:rPr>
          <w:rStyle w:val="Refdenotaalpie"/>
          <w:rFonts w:ascii="Arial" w:hAnsi="Arial" w:cs="Arial"/>
          <w:sz w:val="22"/>
          <w:szCs w:val="22"/>
        </w:rPr>
        <w:sym w:font="Symbol" w:char="F02A"/>
      </w:r>
      <w:r w:rsidR="00197AA0" w:rsidRPr="00201277">
        <w:rPr>
          <w:rFonts w:ascii="Arial" w:hAnsi="Arial" w:cs="Arial"/>
          <w:sz w:val="22"/>
          <w:szCs w:val="22"/>
        </w:rPr>
        <w:t xml:space="preserve"> del Convenio MARPOL. Esta regla, que entró en vigor el 6 de julio de 1995, trata de la prevención de la contaminación en casos de abordaje o varada. Desde entonces ha sufrido dos enmiendas: la primera, que entró en vigor el 1 de julio de 1999, modificaba los valores de peso muerto de los petroleros que transportaran productos pesados como el fuel, por ejemplo; la segunda, de fecha 27 de abril de 2001, acortaba la fecha límite de explotación de los buques afectados por esta regla. </w:t>
      </w:r>
    </w:p>
    <w:p w:rsidR="00197AA0" w:rsidRPr="00201277" w:rsidRDefault="00197AA0" w:rsidP="00232C32">
      <w:pPr>
        <w:pStyle w:val="NormalWeb"/>
        <w:ind w:right="44"/>
        <w:rPr>
          <w:rFonts w:ascii="Arial" w:hAnsi="Arial" w:cs="Arial"/>
          <w:sz w:val="22"/>
          <w:szCs w:val="22"/>
        </w:rPr>
      </w:pPr>
      <w:r w:rsidRPr="00201277">
        <w:rPr>
          <w:rFonts w:ascii="Arial" w:hAnsi="Arial" w:cs="Arial"/>
          <w:sz w:val="22"/>
          <w:szCs w:val="22"/>
        </w:rPr>
        <w:t xml:space="preserve">La regla 13G distingue tres categorías de petroleros: </w:t>
      </w:r>
    </w:p>
    <w:p w:rsidR="00197AA0" w:rsidRPr="00201277" w:rsidRDefault="00197AA0" w:rsidP="00232C32">
      <w:pPr>
        <w:pStyle w:val="NormalWeb"/>
        <w:numPr>
          <w:ilvl w:val="0"/>
          <w:numId w:val="8"/>
        </w:numPr>
        <w:suppressAutoHyphens w:val="0"/>
        <w:spacing w:before="100" w:after="100" w:line="360" w:lineRule="auto"/>
        <w:ind w:right="44"/>
        <w:jc w:val="both"/>
        <w:rPr>
          <w:rFonts w:ascii="Arial" w:hAnsi="Arial" w:cs="Arial"/>
          <w:sz w:val="22"/>
          <w:szCs w:val="22"/>
        </w:rPr>
      </w:pPr>
      <w:r w:rsidRPr="00201277">
        <w:rPr>
          <w:rFonts w:ascii="Arial" w:hAnsi="Arial" w:cs="Arial"/>
          <w:bCs/>
          <w:sz w:val="22"/>
          <w:szCs w:val="22"/>
        </w:rPr>
        <w:t>CATEGORÍA 1</w:t>
      </w:r>
      <w:r w:rsidRPr="00201277">
        <w:rPr>
          <w:rFonts w:ascii="Arial" w:hAnsi="Arial" w:cs="Arial"/>
          <w:sz w:val="22"/>
          <w:szCs w:val="22"/>
        </w:rPr>
        <w:t xml:space="preserve">: Petroleros que no cumplen las prescripciones sobre lastre separado (conocidos como petroleros pre-MARPOL), de peso muerto igual o superior a 20,000 T que transporten petróleo crudo, fuel, aceites pesados (diesel u otros); y petroleros de peso muerto igual o superior a 30,000 T destinados al transporte de otros hidrocarburos. </w:t>
      </w:r>
    </w:p>
    <w:p w:rsidR="00197AA0" w:rsidRPr="00201277" w:rsidRDefault="00197AA0" w:rsidP="00232C32">
      <w:pPr>
        <w:pStyle w:val="NormalWeb"/>
        <w:numPr>
          <w:ilvl w:val="0"/>
          <w:numId w:val="8"/>
        </w:numPr>
        <w:suppressAutoHyphens w:val="0"/>
        <w:spacing w:before="100" w:after="100" w:line="360" w:lineRule="auto"/>
        <w:ind w:right="44"/>
        <w:jc w:val="both"/>
        <w:rPr>
          <w:rFonts w:ascii="Arial" w:hAnsi="Arial" w:cs="Arial"/>
          <w:sz w:val="22"/>
          <w:szCs w:val="22"/>
        </w:rPr>
      </w:pPr>
      <w:r w:rsidRPr="00201277">
        <w:rPr>
          <w:rFonts w:ascii="Arial" w:hAnsi="Arial" w:cs="Arial"/>
          <w:bCs/>
          <w:sz w:val="22"/>
          <w:szCs w:val="22"/>
        </w:rPr>
        <w:t>CATEGORÍA 2</w:t>
      </w:r>
      <w:r w:rsidRPr="00201277">
        <w:rPr>
          <w:rFonts w:ascii="Arial" w:hAnsi="Arial" w:cs="Arial"/>
          <w:sz w:val="22"/>
          <w:szCs w:val="22"/>
        </w:rPr>
        <w:t>: Petroleros de peso muerto igual o superior a 20,000 T que transporten crudos o aceites pesados, y petroleros de PM igual o superior a 30,000 T destinados a la carga de otros hidrocarburos, que cumplan los requerimientos sobre tanques de lastre separado (petroleros MARPOL)</w:t>
      </w:r>
    </w:p>
    <w:p w:rsidR="00197AA0" w:rsidRPr="00201277" w:rsidRDefault="001D7573" w:rsidP="00232C32">
      <w:pPr>
        <w:pStyle w:val="NormalWeb"/>
        <w:numPr>
          <w:ilvl w:val="0"/>
          <w:numId w:val="9"/>
        </w:numPr>
        <w:suppressAutoHyphens w:val="0"/>
        <w:spacing w:before="100" w:after="100" w:line="360" w:lineRule="auto"/>
        <w:ind w:right="44"/>
        <w:jc w:val="both"/>
        <w:rPr>
          <w:rFonts w:ascii="Arial" w:hAnsi="Arial" w:cs="Arial"/>
          <w:sz w:val="22"/>
          <w:szCs w:val="22"/>
        </w:rPr>
      </w:pPr>
      <w:r>
        <w:rPr>
          <w:rFonts w:ascii="Arial" w:hAnsi="Arial" w:cs="Arial"/>
          <w:noProof/>
          <w:sz w:val="22"/>
          <w:szCs w:val="22"/>
          <w:lang w:eastAsia="es-ES"/>
        </w:rPr>
        <w:lastRenderedPageBreak/>
        <w:pict>
          <v:shape id="_x0000_s1078" type="#_x0000_t202" style="position:absolute;left:0;text-align:left;margin-left:227.2pt;margin-top:300.35pt;width:31.8pt;height:21pt;z-index:251705344;mso-height-percent:200;mso-height-percent:200;mso-width-relative:margin;mso-height-relative:margin" fillcolor="white [3212]" stroked="f">
            <v:textbox style="mso-next-textbox:#_x0000_s1078;mso-fit-shape-to-text:t">
              <w:txbxContent>
                <w:p w:rsidR="00AC7D7B" w:rsidRDefault="00AC7D7B" w:rsidP="00F014B5">
                  <w:r>
                    <w:t>31</w:t>
                  </w:r>
                </w:p>
              </w:txbxContent>
            </v:textbox>
          </v:shape>
        </w:pict>
      </w:r>
      <w:r w:rsidR="00197AA0" w:rsidRPr="00201277">
        <w:rPr>
          <w:rFonts w:ascii="Arial" w:hAnsi="Arial" w:cs="Arial"/>
          <w:bCs/>
          <w:sz w:val="22"/>
          <w:szCs w:val="22"/>
        </w:rPr>
        <w:t>CATEGORÍA 3</w:t>
      </w:r>
      <w:r w:rsidR="00197AA0" w:rsidRPr="00201277">
        <w:rPr>
          <w:rFonts w:ascii="Arial" w:hAnsi="Arial" w:cs="Arial"/>
          <w:sz w:val="22"/>
          <w:szCs w:val="22"/>
        </w:rPr>
        <w:t xml:space="preserve">: Petroleros de PM igual o superior a 5,000 T, pero inferior a los determinados en las categorías anteriores.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Para cumplir con dicha prescripción, el Prestige había ampliado sus tanques de lastre, de modo que éstos ofrecieran una protección similar a la de un doble casco en el 30% de su eslora, y lo que se hizo fue dividir los tanques laterales de carga número 2, babor y estribor, de forma que la sección de popa, que iba a destinarse a lastre, sumada a la longitud de los tanques laterales de lastre número 3, alcanzará a ese 30 por ciento de la eslora exigido por el Convenio MARPOL.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Así mismo se estableció la prohibición de cargar cualquier producto petrolífero en esos tanques, conocidos como tanques de lastre limpio. En la práctica, para evitar la contaminación accidental o deliberada de esos tanques, se incomunican mediante unas bridas ciegas atornilladas de forma que no es posible, salvo un trabajo de horas para retirar las bridas, trasvasar carga a esos tanques de lastre limpio. Consignemos también que en aplicación del calendario de eliminación progresiva de los petroleros de casco único, regulado en la regla 13G enmendada el 27 de abril de 2001, el Prestige, teniendo en cuenta su fecha de construcción, había de ser retirado del servicio activo en marzo de 2005 a más tardar</w:t>
      </w:r>
      <w:r w:rsidRPr="00201277">
        <w:rPr>
          <w:rStyle w:val="Refdenotaalpie"/>
          <w:rFonts w:ascii="Arial" w:hAnsi="Arial" w:cs="Arial"/>
          <w:sz w:val="22"/>
          <w:szCs w:val="22"/>
        </w:rPr>
        <w:footnoteReference w:id="62"/>
      </w:r>
      <w:r w:rsidRPr="00201277">
        <w:rPr>
          <w:rFonts w:ascii="Arial" w:hAnsi="Arial" w:cs="Arial"/>
          <w:sz w:val="22"/>
          <w:szCs w:val="22"/>
        </w:rPr>
        <w:t xml:space="preserve">. </w:t>
      </w: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lang w:val="es-SV" w:eastAsia="es-SV"/>
        </w:rPr>
      </w:pPr>
      <w:r w:rsidRPr="00201277">
        <w:rPr>
          <w:rFonts w:ascii="Arial" w:hAnsi="Arial" w:cs="Arial"/>
          <w:sz w:val="22"/>
          <w:szCs w:val="22"/>
        </w:rPr>
        <w:t xml:space="preserve">También cabe destacar que luego del accidente del buque Prestige se crea lo que se conoció como el tercer nivel de indemnizaciones del fondo complementario de 2003, que incluía el </w:t>
      </w:r>
      <w:r w:rsidRPr="00201277">
        <w:rPr>
          <w:rFonts w:ascii="Arial" w:hAnsi="Arial" w:cs="Arial"/>
          <w:sz w:val="22"/>
          <w:szCs w:val="22"/>
          <w:lang w:val="es-SV" w:eastAsia="es-SV"/>
        </w:rPr>
        <w:t>Protocolo del Fondo Complementario, ayudando de este modo a mantener un reparto equitativo de la carga financiera de las indemnizaciones por derrame de hidrocarburos entre los armadores de los buques petroleros y la parte responsable de la carga de hidrocarburos.</w:t>
      </w:r>
    </w:p>
    <w:p w:rsidR="00197AA0" w:rsidRPr="00201277" w:rsidRDefault="00197AA0" w:rsidP="00232C32">
      <w:pPr>
        <w:pStyle w:val="NormalWeb"/>
        <w:spacing w:line="360" w:lineRule="auto"/>
        <w:ind w:right="44" w:firstLine="567"/>
        <w:jc w:val="both"/>
        <w:rPr>
          <w:rFonts w:ascii="Arial" w:hAnsi="Arial" w:cs="Arial"/>
          <w:sz w:val="22"/>
          <w:szCs w:val="22"/>
          <w:lang w:eastAsia="es-ES"/>
        </w:rPr>
      </w:pPr>
      <w:r w:rsidRPr="00201277">
        <w:rPr>
          <w:rFonts w:ascii="Arial" w:hAnsi="Arial" w:cs="Arial"/>
          <w:sz w:val="22"/>
          <w:szCs w:val="22"/>
        </w:rPr>
        <w:t xml:space="preserve">Así mismo los certificados internacionales de seguridad y de prevención de la contaminación que establecen los convenios de la OMI le fueron renovados al Prestige, con una validez de cinco años hasta el 31 de marzo de 2006, tras el reconocimiento especial de los 25 años y las correspondientes reparaciones que se realizaron en Cantón (Guangzhou en la transcripción del chino), en abril y mayo de 2001. Dichos certificados fueron emitidos en nombre del Estado de bandera, es decir Bahamas. </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sz w:val="22"/>
          <w:szCs w:val="22"/>
        </w:rPr>
        <w:lastRenderedPageBreak/>
        <w:t xml:space="preserve">Se trata de los siguientes certificados: </w:t>
      </w:r>
    </w:p>
    <w:p w:rsidR="00197AA0" w:rsidRPr="00201277" w:rsidRDefault="001D7573" w:rsidP="00232C32">
      <w:pPr>
        <w:pStyle w:val="NormalWeb"/>
        <w:numPr>
          <w:ilvl w:val="0"/>
          <w:numId w:val="10"/>
        </w:numPr>
        <w:suppressAutoHyphens w:val="0"/>
        <w:spacing w:before="100" w:after="100" w:line="360" w:lineRule="auto"/>
        <w:ind w:right="44"/>
        <w:jc w:val="both"/>
        <w:rPr>
          <w:rFonts w:ascii="Arial" w:hAnsi="Arial" w:cs="Arial"/>
          <w:sz w:val="22"/>
          <w:szCs w:val="22"/>
        </w:rPr>
      </w:pPr>
      <w:r>
        <w:rPr>
          <w:rFonts w:ascii="Arial" w:hAnsi="Arial" w:cs="Arial"/>
          <w:noProof/>
          <w:sz w:val="22"/>
          <w:szCs w:val="22"/>
          <w:lang w:eastAsia="es-ES"/>
        </w:rPr>
        <w:pict>
          <v:shape id="_x0000_s1079" type="#_x0000_t202" style="position:absolute;left:0;text-align:left;margin-left:191.7pt;margin-top:68.65pt;width:31.8pt;height:21pt;z-index:251706368;mso-height-percent:200;mso-height-percent:200;mso-width-relative:margin;mso-height-relative:margin" fillcolor="white [3212]" stroked="f">
            <v:textbox style="mso-next-textbox:#_x0000_s1079;mso-fit-shape-to-text:t">
              <w:txbxContent>
                <w:p w:rsidR="00AC7D7B" w:rsidRDefault="00AC7D7B" w:rsidP="00F014B5">
                  <w:r>
                    <w:t>32</w:t>
                  </w:r>
                </w:p>
              </w:txbxContent>
            </v:textbox>
          </v:shape>
        </w:pict>
      </w:r>
      <w:r w:rsidR="00197AA0" w:rsidRPr="00201277">
        <w:rPr>
          <w:rFonts w:ascii="Arial" w:hAnsi="Arial" w:cs="Arial"/>
          <w:sz w:val="22"/>
          <w:szCs w:val="22"/>
        </w:rPr>
        <w:t>Certificado internacional de francobordo</w:t>
      </w:r>
    </w:p>
    <w:p w:rsidR="00197AA0" w:rsidRPr="00201277" w:rsidRDefault="00197AA0" w:rsidP="00232C32">
      <w:pPr>
        <w:pStyle w:val="NormalWeb"/>
        <w:numPr>
          <w:ilvl w:val="0"/>
          <w:numId w:val="10"/>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 xml:space="preserve">Certificado internacional de seguridad de construcción </w:t>
      </w:r>
    </w:p>
    <w:p w:rsidR="00197AA0" w:rsidRPr="00201277" w:rsidRDefault="00197AA0" w:rsidP="00232C32">
      <w:pPr>
        <w:pStyle w:val="NormalWeb"/>
        <w:numPr>
          <w:ilvl w:val="0"/>
          <w:numId w:val="10"/>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 xml:space="preserve">Certificado internacional de seguridad de material de armamento, y su inventario </w:t>
      </w:r>
    </w:p>
    <w:p w:rsidR="00197AA0" w:rsidRPr="00201277" w:rsidRDefault="00197AA0" w:rsidP="00232C32">
      <w:pPr>
        <w:pStyle w:val="NormalWeb"/>
        <w:numPr>
          <w:ilvl w:val="0"/>
          <w:numId w:val="10"/>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 xml:space="preserve">Certificado de exención de radiogoniómetro </w:t>
      </w:r>
    </w:p>
    <w:p w:rsidR="00197AA0" w:rsidRPr="00201277" w:rsidRDefault="00197AA0" w:rsidP="00232C32">
      <w:pPr>
        <w:pStyle w:val="NormalWeb"/>
        <w:numPr>
          <w:ilvl w:val="0"/>
          <w:numId w:val="10"/>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 xml:space="preserve">Certificado internacional de seguridad radioeléctrica, con la ficha correspondiente </w:t>
      </w:r>
    </w:p>
    <w:p w:rsidR="00197AA0" w:rsidRPr="00201277" w:rsidRDefault="00197AA0" w:rsidP="00232C32">
      <w:pPr>
        <w:pStyle w:val="NormalWeb"/>
        <w:numPr>
          <w:ilvl w:val="0"/>
          <w:numId w:val="10"/>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 xml:space="preserve">Certificado internacional de prevención de la contaminación por hidrocarburos </w:t>
      </w:r>
    </w:p>
    <w:p w:rsidR="00197AA0" w:rsidRPr="00201277" w:rsidRDefault="00197AA0" w:rsidP="00232C32">
      <w:pPr>
        <w:pStyle w:val="NormalWeb"/>
        <w:spacing w:line="360" w:lineRule="auto"/>
        <w:ind w:right="44" w:firstLine="567"/>
        <w:rPr>
          <w:rFonts w:ascii="Arial" w:hAnsi="Arial" w:cs="Arial"/>
          <w:sz w:val="22"/>
          <w:szCs w:val="22"/>
        </w:rPr>
      </w:pPr>
      <w:r w:rsidRPr="00201277">
        <w:rPr>
          <w:rFonts w:ascii="Arial" w:hAnsi="Arial" w:cs="Arial"/>
          <w:sz w:val="22"/>
          <w:szCs w:val="22"/>
        </w:rPr>
        <w:t>Es importante  mencionar también la creación de medidas concretas que surgieron a raíz del accidente del buque Prestige, tales como</w:t>
      </w:r>
      <w:r w:rsidRPr="00201277">
        <w:rPr>
          <w:rStyle w:val="Refdenotaalpie"/>
          <w:rFonts w:ascii="Arial" w:hAnsi="Arial" w:cs="Arial"/>
          <w:sz w:val="22"/>
          <w:szCs w:val="22"/>
        </w:rPr>
        <w:footnoteReference w:id="63"/>
      </w:r>
      <w:r w:rsidRPr="00201277">
        <w:rPr>
          <w:rFonts w:ascii="Arial" w:hAnsi="Arial" w:cs="Arial"/>
          <w:sz w:val="22"/>
          <w:szCs w:val="22"/>
        </w:rPr>
        <w:t>:</w:t>
      </w:r>
    </w:p>
    <w:p w:rsidR="00197AA0" w:rsidRPr="00201277" w:rsidRDefault="001D7573" w:rsidP="00232C32">
      <w:pPr>
        <w:pStyle w:val="Prrafodelista1"/>
        <w:numPr>
          <w:ilvl w:val="0"/>
          <w:numId w:val="11"/>
        </w:numPr>
        <w:spacing w:after="0" w:line="360" w:lineRule="auto"/>
        <w:ind w:right="44"/>
        <w:jc w:val="both"/>
        <w:rPr>
          <w:rFonts w:ascii="Arial" w:hAnsi="Arial" w:cs="Arial"/>
          <w:lang w:eastAsia="es-ES"/>
        </w:rPr>
      </w:pPr>
      <w:hyperlink r:id="rId60" w:history="1">
        <w:r w:rsidR="00197AA0" w:rsidRPr="00201277">
          <w:rPr>
            <w:rStyle w:val="Hipervnculo"/>
            <w:rFonts w:ascii="Arial" w:hAnsi="Arial" w:cs="Arial"/>
            <w:bCs/>
            <w:color w:val="auto"/>
            <w:u w:val="none"/>
            <w:lang w:eastAsia="es-ES"/>
          </w:rPr>
          <w:t>Real Decreto 1220/2002, de 22 de Noviembre</w:t>
        </w:r>
      </w:hyperlink>
      <w:r w:rsidR="00197AA0" w:rsidRPr="00201277">
        <w:rPr>
          <w:rFonts w:ascii="Arial" w:hAnsi="Arial" w:cs="Arial"/>
          <w:lang w:eastAsia="es-ES"/>
        </w:rPr>
        <w:t>: Se crea la Comisión Interministerial para el Seguimiento de los Daños Ocasionados por el Buque Prestige.</w:t>
      </w:r>
      <w:r w:rsidR="00197AA0" w:rsidRPr="00201277">
        <w:rPr>
          <w:rFonts w:ascii="Arial" w:hAnsi="Arial" w:cs="Arial"/>
          <w:lang w:eastAsia="es-ES"/>
        </w:rPr>
        <w:br/>
      </w:r>
    </w:p>
    <w:p w:rsidR="00197AA0" w:rsidRPr="00201277" w:rsidRDefault="00197AA0" w:rsidP="00232C32">
      <w:pPr>
        <w:numPr>
          <w:ilvl w:val="0"/>
          <w:numId w:val="11"/>
        </w:numPr>
        <w:spacing w:line="360" w:lineRule="auto"/>
        <w:ind w:right="44"/>
        <w:contextualSpacing/>
        <w:jc w:val="both"/>
        <w:rPr>
          <w:rFonts w:ascii="Arial" w:hAnsi="Arial" w:cs="Arial"/>
          <w:sz w:val="22"/>
          <w:szCs w:val="22"/>
        </w:rPr>
      </w:pPr>
      <w:r w:rsidRPr="00201277">
        <w:rPr>
          <w:rFonts w:ascii="Arial" w:hAnsi="Arial" w:cs="Arial"/>
          <w:sz w:val="22"/>
          <w:szCs w:val="22"/>
        </w:rPr>
        <w:t xml:space="preserve"> </w:t>
      </w:r>
      <w:hyperlink r:id="rId61" w:history="1">
        <w:r w:rsidRPr="00201277">
          <w:rPr>
            <w:rStyle w:val="Hipervnculo"/>
            <w:rFonts w:ascii="Arial" w:hAnsi="Arial" w:cs="Arial"/>
            <w:bCs/>
            <w:color w:val="auto"/>
            <w:sz w:val="22"/>
            <w:szCs w:val="22"/>
            <w:u w:val="none"/>
          </w:rPr>
          <w:t>Real Decreto Ley 7/2002, de 22 de Noviembre</w:t>
        </w:r>
      </w:hyperlink>
      <w:r w:rsidRPr="00201277">
        <w:rPr>
          <w:rFonts w:ascii="Arial" w:hAnsi="Arial" w:cs="Arial"/>
          <w:sz w:val="22"/>
          <w:szCs w:val="22"/>
        </w:rPr>
        <w:t>: Sobre medidas reparadoras en relación con el accidente del buque  Prestige.</w:t>
      </w:r>
    </w:p>
    <w:p w:rsidR="00197AA0" w:rsidRPr="00201277" w:rsidRDefault="00197AA0" w:rsidP="00232C32">
      <w:pPr>
        <w:ind w:left="720" w:right="44"/>
        <w:contextualSpacing/>
        <w:jc w:val="both"/>
        <w:rPr>
          <w:rFonts w:ascii="Arial" w:hAnsi="Arial" w:cs="Arial"/>
          <w:sz w:val="22"/>
          <w:szCs w:val="22"/>
        </w:rPr>
      </w:pPr>
    </w:p>
    <w:p w:rsidR="00197AA0" w:rsidRPr="00201277" w:rsidRDefault="001D7573" w:rsidP="00232C32">
      <w:pPr>
        <w:numPr>
          <w:ilvl w:val="0"/>
          <w:numId w:val="11"/>
        </w:numPr>
        <w:spacing w:after="200" w:line="360" w:lineRule="auto"/>
        <w:jc w:val="both"/>
        <w:rPr>
          <w:rFonts w:ascii="Arial" w:hAnsi="Arial" w:cs="Arial"/>
          <w:sz w:val="22"/>
          <w:szCs w:val="22"/>
          <w:lang w:eastAsia="en-US"/>
        </w:rPr>
      </w:pPr>
      <w:hyperlink r:id="rId62" w:history="1">
        <w:r w:rsidR="00197AA0" w:rsidRPr="00201277">
          <w:rPr>
            <w:rStyle w:val="Hipervnculo"/>
            <w:rFonts w:ascii="Arial" w:hAnsi="Arial" w:cs="Arial"/>
            <w:bCs/>
            <w:color w:val="auto"/>
            <w:sz w:val="22"/>
            <w:szCs w:val="22"/>
            <w:u w:val="none"/>
          </w:rPr>
          <w:t>Real Decreto Ley 8/2002, de 13 de Diciembre</w:t>
        </w:r>
      </w:hyperlink>
      <w:r w:rsidR="00197AA0" w:rsidRPr="00201277">
        <w:rPr>
          <w:rFonts w:ascii="Arial" w:hAnsi="Arial" w:cs="Arial"/>
          <w:sz w:val="22"/>
          <w:szCs w:val="22"/>
        </w:rPr>
        <w:t>: Se amplían las medidas reparadoras en relación con el accidente del buque Prestige a las comunidades autónomas del Principado de Asturias, Cantabria y País Vasco, y se modifica el Real Decreto Ley 7/2002, de 22 de noviembre</w:t>
      </w:r>
    </w:p>
    <w:p w:rsidR="00197AA0" w:rsidRPr="00201277" w:rsidRDefault="001D7573" w:rsidP="00232C32">
      <w:pPr>
        <w:pStyle w:val="Prrafodelista1"/>
        <w:numPr>
          <w:ilvl w:val="0"/>
          <w:numId w:val="11"/>
        </w:numPr>
        <w:spacing w:after="0" w:line="360" w:lineRule="auto"/>
        <w:ind w:right="44"/>
        <w:jc w:val="both"/>
        <w:rPr>
          <w:rFonts w:ascii="Arial" w:hAnsi="Arial" w:cs="Arial"/>
        </w:rPr>
      </w:pPr>
      <w:hyperlink r:id="rId63" w:history="1">
        <w:r w:rsidR="00197AA0" w:rsidRPr="00201277">
          <w:rPr>
            <w:rStyle w:val="Hipervnculo"/>
            <w:rFonts w:ascii="Arial" w:hAnsi="Arial" w:cs="Arial"/>
            <w:bCs/>
            <w:color w:val="auto"/>
            <w:u w:val="none"/>
            <w:lang w:eastAsia="es-ES"/>
          </w:rPr>
          <w:t>Real Decreto Ley 9/2002, de 13 de Diciembre</w:t>
        </w:r>
      </w:hyperlink>
      <w:r w:rsidR="00197AA0" w:rsidRPr="00201277">
        <w:rPr>
          <w:rFonts w:ascii="Arial" w:hAnsi="Arial" w:cs="Arial"/>
          <w:lang w:eastAsia="es-ES"/>
        </w:rPr>
        <w:t>: Por el que se adoptan medidas para buques tanque que transportan mercancías peligrosas o contaminantes.</w:t>
      </w:r>
    </w:p>
    <w:p w:rsidR="00197AA0" w:rsidRPr="00201277" w:rsidRDefault="001D7573" w:rsidP="00232C32">
      <w:pPr>
        <w:numPr>
          <w:ilvl w:val="0"/>
          <w:numId w:val="11"/>
        </w:numPr>
        <w:spacing w:line="360" w:lineRule="auto"/>
        <w:ind w:right="44"/>
        <w:contextualSpacing/>
        <w:jc w:val="both"/>
        <w:rPr>
          <w:rFonts w:ascii="Arial" w:hAnsi="Arial" w:cs="Arial"/>
          <w:sz w:val="22"/>
          <w:szCs w:val="22"/>
        </w:rPr>
      </w:pPr>
      <w:hyperlink r:id="rId64" w:history="1">
        <w:r w:rsidR="00197AA0" w:rsidRPr="00201277">
          <w:rPr>
            <w:rStyle w:val="Hipervnculo"/>
            <w:rFonts w:ascii="Arial" w:hAnsi="Arial" w:cs="Arial"/>
            <w:bCs/>
            <w:color w:val="auto"/>
            <w:sz w:val="22"/>
            <w:szCs w:val="22"/>
            <w:u w:val="none"/>
          </w:rPr>
          <w:t>Real Decreto 276/2005, de 11 de marzo</w:t>
        </w:r>
      </w:hyperlink>
      <w:r w:rsidR="00197AA0" w:rsidRPr="00201277">
        <w:rPr>
          <w:rFonts w:ascii="Arial" w:hAnsi="Arial" w:cs="Arial"/>
          <w:sz w:val="22"/>
          <w:szCs w:val="22"/>
        </w:rPr>
        <w:t>: Por el que se desarrolla el artículo 2 del Real Decreto Ley 4/2004, de 2 de julio, por el que se adoptan determinadas medidas relacionadas con los daños ocasionados por el accidente del buque Prestige.</w:t>
      </w:r>
    </w:p>
    <w:p w:rsidR="00197AA0" w:rsidRPr="00201277" w:rsidRDefault="00197AA0" w:rsidP="00232C32">
      <w:pPr>
        <w:ind w:right="44"/>
        <w:rPr>
          <w:rFonts w:ascii="Arial" w:hAnsi="Arial" w:cs="Arial"/>
          <w:sz w:val="22"/>
          <w:szCs w:val="22"/>
          <w:lang w:eastAsia="en-US"/>
        </w:rPr>
      </w:pPr>
    </w:p>
    <w:p w:rsidR="00197AA0" w:rsidRPr="00201277" w:rsidRDefault="00197AA0" w:rsidP="00232C32">
      <w:pPr>
        <w:ind w:right="44"/>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Así mismo resulta interesante destacar que se realizaron una serie de medidas para buques de transporte de mercancías peligrosas que fue lo que se conoció como: Decreto-</w:t>
      </w:r>
      <w:r w:rsidRPr="00201277">
        <w:rPr>
          <w:rFonts w:ascii="Arial" w:hAnsi="Arial" w:cs="Arial"/>
          <w:sz w:val="22"/>
          <w:szCs w:val="22"/>
        </w:rPr>
        <w:lastRenderedPageBreak/>
        <w:t>Ley 9/ 2002: Establecía la retirada de buques petroleros monocasco, en la propuesta de Reglamento que presentó la Comisión Europea en febrero de 2000 fue la siguiente:</w:t>
      </w:r>
    </w:p>
    <w:p w:rsidR="00197AA0" w:rsidRPr="00201277"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80" type="#_x0000_t202" style="position:absolute;left:0;text-align:left;margin-left:224.85pt;margin-top:84.3pt;width:31.8pt;height:21pt;z-index:251707392;mso-height-percent:200;mso-height-percent:200;mso-width-relative:margin;mso-height-relative:margin" fillcolor="white [3212]" stroked="f">
            <v:textbox style="mso-next-textbox:#_x0000_s1080;mso-fit-shape-to-text:t">
              <w:txbxContent>
                <w:p w:rsidR="00AC7D7B" w:rsidRDefault="00AC7D7B" w:rsidP="00F014B5">
                  <w:r>
                    <w:t>33</w:t>
                  </w:r>
                </w:p>
              </w:txbxContent>
            </v:textbox>
          </v:shape>
        </w:pict>
      </w: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Los buques petroleros de crudos de 20,000 toneladas o de más peso muerto y aquellos buques de producto de 30,000 toneladas o de más,  no podrán operar cuando el buque tenga una antigüedad de 23 años.</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Resulta interesante que esta propuesta fue debatida en el seno de la OMI en 2001, pero finalmente no se recogió en el Reglamento 417/2002, que incorporó un calendario más amplio para la sustitución de estos petroleros. Si se hubiera producido esta inclusión el buque Prestige hubiera dejado de navegar en 1999, fecha en que se cumplían los 23 años de antigüedad. Es por ello, que se orientó los nuevos textos para permitir a los Estados costeros controlar, y en su caso limitar, el tráfico de buques que transporten mercancías peligrosas y contaminantes dentro del límite de 200 millas de sus costas.</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También se adhirió el Decreto 90/2003: Establece las condiciones que deben cumplir las organizaciones y sociedades de clasificación de buques para ser reconocidas por la Comisión y poder realizar </w:t>
      </w:r>
      <w:hyperlink r:id="rId65" w:history="1">
        <w:r w:rsidRPr="00201277">
          <w:rPr>
            <w:rStyle w:val="Hipervnculo"/>
            <w:rFonts w:ascii="Arial" w:hAnsi="Arial" w:cs="Arial"/>
            <w:color w:val="auto"/>
            <w:sz w:val="22"/>
            <w:szCs w:val="22"/>
            <w:u w:val="none"/>
          </w:rPr>
          <w:t>funciones</w:t>
        </w:r>
      </w:hyperlink>
      <w:r w:rsidRPr="00201277">
        <w:rPr>
          <w:rFonts w:ascii="Arial" w:hAnsi="Arial" w:cs="Arial"/>
          <w:sz w:val="22"/>
          <w:szCs w:val="22"/>
        </w:rPr>
        <w:t xml:space="preserve"> de inspección, control y certificación de los buques.</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Es así como finalmente después de ocho años del accidente del Buque Prestige, se puede concluir que en los últimos años, aún se recuerda no sólo porque despertó conmoción en la sociedad española si no también en la sociedad internacional por mucho tiempo. </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lang w:eastAsia="es-ES"/>
        </w:rPr>
        <w:pict>
          <v:shape id="_x0000_s1081" type="#_x0000_t202" style="position:absolute;left:0;text-align:left;margin-left:195.4pt;margin-top:262pt;width:31.8pt;height:21pt;z-index:251708416;mso-height-percent:200;mso-height-percent:200;mso-width-relative:margin;mso-height-relative:margin" fillcolor="white [3212]" stroked="f">
            <v:textbox style="mso-next-textbox:#_x0000_s1081;mso-fit-shape-to-text:t">
              <w:txbxContent>
                <w:p w:rsidR="00AC7D7B" w:rsidRDefault="00AC7D7B" w:rsidP="00F014B5">
                  <w:r>
                    <w:t>34</w:t>
                  </w:r>
                </w:p>
              </w:txbxContent>
            </v:textbox>
          </v:shape>
        </w:pict>
      </w:r>
      <w:r w:rsidR="00197AA0" w:rsidRPr="00201277">
        <w:rPr>
          <w:rFonts w:ascii="Arial" w:hAnsi="Arial" w:cs="Arial"/>
          <w:sz w:val="22"/>
          <w:szCs w:val="22"/>
        </w:rPr>
        <w:t xml:space="preserve">Así mismo después de conocer a fondo la catástrofe del Prestige como se describió anteriormente, es importante concluir que si bien es cierto se ha evolucionado favorablemente en la creación de nuevas normativas para hacer frente a este tipo de catástrofes como el Prestige, también se ha constatado la debilidad del derecho del mar, debido en parte a las limitadas competencias de prevención, control y ejecución de las leyes del Estado ribereño, ya que es bastante controversial el hecho de que anteriormente el Prestige había sido sancionado en dos ocasiones, específicamente en 1999, Nueva York y en Rotterdam por infracciones de seguridad, ante esto resulta interesante que dicho buque no había pasado ninguna revisión a fondo desde entonces, </w:t>
      </w:r>
      <w:r w:rsidR="00197AA0" w:rsidRPr="00201277">
        <w:rPr>
          <w:rFonts w:ascii="Arial" w:hAnsi="Arial" w:cs="Arial"/>
          <w:sz w:val="22"/>
          <w:szCs w:val="22"/>
        </w:rPr>
        <w:lastRenderedPageBreak/>
        <w:t xml:space="preserve">aún cuando la normativa europea obliga a una revisión anual para todos los transportes marítimos de riesgo.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Después del accidente, el Prestige tuvo que someterse a reparaciones de importancia en 2001 después que unos inspectores del ABS</w:t>
      </w:r>
      <w:r w:rsidRPr="00201277">
        <w:rPr>
          <w:rStyle w:val="Refdenotaalpie"/>
          <w:rFonts w:ascii="Arial" w:hAnsi="Arial" w:cs="Arial"/>
          <w:sz w:val="22"/>
          <w:szCs w:val="22"/>
        </w:rPr>
        <w:footnoteReference w:customMarkFollows="1" w:id="64"/>
        <w:sym w:font="Symbol" w:char="F02A"/>
      </w:r>
      <w:r w:rsidRPr="00201277">
        <w:rPr>
          <w:rFonts w:ascii="Arial" w:hAnsi="Arial" w:cs="Arial"/>
          <w:sz w:val="22"/>
          <w:szCs w:val="22"/>
        </w:rPr>
        <w:t xml:space="preserve"> hallasen </w:t>
      </w:r>
      <w:hyperlink r:id="rId66" w:tgtFrame="foto" w:history="1">
        <w:r w:rsidRPr="00201277">
          <w:rPr>
            <w:rStyle w:val="Hipervnculo"/>
            <w:rFonts w:ascii="Arial" w:hAnsi="Arial" w:cs="Arial"/>
            <w:color w:val="auto"/>
            <w:sz w:val="22"/>
            <w:szCs w:val="22"/>
            <w:u w:val="none"/>
          </w:rPr>
          <w:t>grietas en algunas secciones del casco</w:t>
        </w:r>
      </w:hyperlink>
      <w:r w:rsidRPr="00201277">
        <w:rPr>
          <w:rFonts w:ascii="Arial" w:hAnsi="Arial" w:cs="Arial"/>
          <w:sz w:val="22"/>
          <w:szCs w:val="22"/>
        </w:rPr>
        <w:t xml:space="preserve">. La soldadura de estas grietas tuvo lugar en Guangzhou; China, y se ha especulado que tal vez la rotura de algunas de ellas provocase el naufragio. </w:t>
      </w:r>
    </w:p>
    <w:p w:rsidR="00197AA0"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En particular, se debería centrar la revisión del régimen jurídico en la previsión de accidentes y en fomentar medidas de carácter previo, controlando así la navegación de buques que no cumplen las condiciones adecuadas evitando, por ejemplo, que los buques monocasco como el buque Prestige transporten mercancías contaminantes, para reducir accidentes de esta naturaleza.</w:t>
      </w:r>
    </w:p>
    <w:p w:rsidR="00197AA0" w:rsidRPr="00201277" w:rsidRDefault="00197AA0" w:rsidP="00232C32">
      <w:pPr>
        <w:pStyle w:val="NormalWeb"/>
        <w:spacing w:line="360" w:lineRule="auto"/>
        <w:ind w:right="44" w:firstLine="567"/>
        <w:jc w:val="both"/>
        <w:rPr>
          <w:rFonts w:ascii="Arial" w:hAnsi="Arial" w:cs="Arial"/>
          <w:sz w:val="22"/>
          <w:szCs w:val="22"/>
        </w:rPr>
      </w:pPr>
    </w:p>
    <w:p w:rsidR="00197AA0" w:rsidRPr="00201277" w:rsidRDefault="00197AA0" w:rsidP="00232C32">
      <w:pPr>
        <w:pStyle w:val="NormalWeb"/>
        <w:numPr>
          <w:ilvl w:val="2"/>
          <w:numId w:val="12"/>
        </w:numPr>
        <w:suppressAutoHyphens w:val="0"/>
        <w:spacing w:before="100" w:after="100" w:line="360" w:lineRule="auto"/>
        <w:ind w:right="44"/>
        <w:jc w:val="both"/>
        <w:rPr>
          <w:rFonts w:ascii="Arial" w:hAnsi="Arial" w:cs="Arial"/>
          <w:b/>
          <w:sz w:val="22"/>
          <w:szCs w:val="22"/>
        </w:rPr>
      </w:pPr>
      <w:r w:rsidRPr="00201277">
        <w:rPr>
          <w:rFonts w:ascii="Arial" w:hAnsi="Arial" w:cs="Arial"/>
          <w:b/>
          <w:sz w:val="22"/>
          <w:szCs w:val="22"/>
        </w:rPr>
        <w:t>Buque Shen Neng 1</w:t>
      </w: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Uno de los accidentes de contaminación por hidrocarburos acaecidos con mayor actualidad, es el de la embarcación petrolera conocida como Shen Neng 1, ocurrido el 3 de abril de 2010,  que quedó varado a 70 kilómetros de la costa de la isla Great Keppel, Australia, al chocar contra un arrecife.</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Accidente que ha provocado gran preocupación, dado que afectó la zona de la Gran Barrera de Coral, que es el sistema de arrecifes más grande del mundo y se extiende por más de 2,500 kilómetros, considerada el organismo vivo más grande de la Tierra. El Buque de bandera china Shen Neng 1, encallaba en el extremo sur de la Gran Barrera de Coral Australiana, a la Altura de la isla de Great Keppel. La embarcación transportaba 65,000 toneladas de carbón y 975 toneladas de petróleo, de las cuales 2,5 toneladas de petróleo fueron derramadas, debido a una rotura en el depósito, creando una mancha de aproximadamente 3 Kilómetros con 100 metros</w:t>
      </w:r>
      <w:r w:rsidRPr="00201277">
        <w:rPr>
          <w:rStyle w:val="Refdenotaalpie"/>
          <w:rFonts w:ascii="Arial" w:hAnsi="Arial" w:cs="Arial"/>
          <w:sz w:val="22"/>
          <w:szCs w:val="22"/>
        </w:rPr>
        <w:footnoteReference w:id="65"/>
      </w:r>
      <w:r w:rsidRPr="00201277">
        <w:rPr>
          <w:rFonts w:ascii="Arial" w:hAnsi="Arial" w:cs="Arial"/>
          <w:sz w:val="22"/>
          <w:szCs w:val="22"/>
        </w:rPr>
        <w:t>.</w:t>
      </w: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lastRenderedPageBreak/>
        <w:pict>
          <v:shape id="_x0000_s1082" type="#_x0000_t202" style="position:absolute;left:0;text-align:left;margin-left:199.2pt;margin-top:161.45pt;width:31.8pt;height:21pt;z-index:251709440;mso-height-percent:200;mso-height-percent:200;mso-width-relative:margin;mso-height-relative:margin" fillcolor="white [3212]" stroked="f">
            <v:textbox style="mso-next-textbox:#_x0000_s1082;mso-fit-shape-to-text:t">
              <w:txbxContent>
                <w:p w:rsidR="00AC7D7B" w:rsidRDefault="00AC7D7B" w:rsidP="00F014B5">
                  <w:r>
                    <w:t>35</w:t>
                  </w:r>
                </w:p>
              </w:txbxContent>
            </v:textbox>
          </v:shape>
        </w:pict>
      </w:r>
      <w:r w:rsidR="00197AA0" w:rsidRPr="00201277">
        <w:rPr>
          <w:rFonts w:ascii="Arial" w:hAnsi="Arial" w:cs="Arial"/>
          <w:sz w:val="22"/>
          <w:szCs w:val="22"/>
        </w:rPr>
        <w:t>Resulta de gran transcendencia abordar este caso de contaminación, ya que es uno de los más recientes accidentes de contaminación por hidrocarburos en los espacios marítimos, aunado el hecho de los estragos causados dado que la Gran Barrera de Coral está compuesta por casi 3,000 pequeños arrecifes y más de 900 islas a lo largo de 2,600 kilómetros en el océano Pacífico.</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Cabe aclarar que el buque Bestore era propiedad de Scinicariello Ship Management, Italia,  que fue vendido por 34,000,000 dólares en el año 2007, y renombrado posteriormente como Shen Neng 1, su indicativo es BXAN. Se le asignó el número OMI 9040871, y el número MMSI 413461550. El barco es propiedad de Shenzhen Energía Transportation Co. Ltd, una filial de Shenzhen de la Energía, y está gestionado por Tosco-KEYMAX Internacional Ship Management Co. Ltd, una empresa conjunta japonesa.</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En los marcos de las observaciones anteriores, resulta oportuno referir las características del buque Shen Neng 1, para tener un panorama más claro de la magnitud de la tragedia:</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Tabla 1.5 Buque Shen Neng 1</w:t>
      </w:r>
    </w:p>
    <w:p w:rsidR="00197AA0" w:rsidRPr="00201277" w:rsidRDefault="00197AA0" w:rsidP="00232C32">
      <w:pPr>
        <w:spacing w:line="360" w:lineRule="auto"/>
        <w:ind w:right="44"/>
        <w:jc w:val="both"/>
        <w:rPr>
          <w:rFonts w:ascii="Arial" w:hAnsi="Arial" w:cs="Arial"/>
          <w:b/>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489"/>
        <w:gridCol w:w="4489"/>
      </w:tblGrid>
      <w:tr w:rsidR="00197AA0" w:rsidTr="00232C32">
        <w:trPr>
          <w:trHeight w:val="425"/>
        </w:trPr>
        <w:tc>
          <w:tcPr>
            <w:tcW w:w="4489" w:type="dxa"/>
          </w:tcPr>
          <w:p w:rsidR="00197AA0" w:rsidRDefault="00197AA0">
            <w:pPr>
              <w:tabs>
                <w:tab w:val="center" w:pos="4252"/>
                <w:tab w:val="right" w:pos="8504"/>
              </w:tabs>
              <w:spacing w:after="200" w:line="276" w:lineRule="auto"/>
              <w:ind w:right="44"/>
              <w:jc w:val="center"/>
              <w:rPr>
                <w:rFonts w:ascii="Arial" w:hAnsi="Arial" w:cs="Arial"/>
                <w:b/>
                <w:sz w:val="18"/>
                <w:szCs w:val="18"/>
                <w:lang w:eastAsia="en-US"/>
              </w:rPr>
            </w:pPr>
            <w:r>
              <w:rPr>
                <w:rFonts w:ascii="Arial" w:hAnsi="Arial" w:cs="Arial"/>
                <w:b/>
                <w:sz w:val="18"/>
                <w:szCs w:val="18"/>
              </w:rPr>
              <w:t>Carrera</w:t>
            </w:r>
          </w:p>
        </w:tc>
        <w:tc>
          <w:tcPr>
            <w:tcW w:w="4489" w:type="dxa"/>
          </w:tcPr>
          <w:p w:rsidR="00197AA0" w:rsidRDefault="00197AA0">
            <w:pPr>
              <w:tabs>
                <w:tab w:val="center" w:pos="4252"/>
                <w:tab w:val="right" w:pos="8504"/>
              </w:tabs>
              <w:spacing w:after="200" w:line="276" w:lineRule="auto"/>
              <w:ind w:right="44"/>
              <w:jc w:val="center"/>
              <w:rPr>
                <w:rFonts w:ascii="Arial" w:hAnsi="Arial" w:cs="Arial"/>
                <w:b/>
                <w:sz w:val="18"/>
                <w:szCs w:val="18"/>
                <w:lang w:eastAsia="en-US"/>
              </w:rPr>
            </w:pPr>
            <w:r>
              <w:rPr>
                <w:rFonts w:ascii="Arial" w:hAnsi="Arial" w:cs="Arial"/>
                <w:b/>
                <w:sz w:val="18"/>
                <w:szCs w:val="18"/>
              </w:rPr>
              <w:t>Datos Generales</w:t>
            </w:r>
          </w:p>
        </w:tc>
      </w:tr>
      <w:tr w:rsidR="00197AA0" w:rsidTr="00232C32">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Nombre: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Bestore (1993-2007) </w:t>
            </w:r>
          </w:p>
          <w:p w:rsidR="00197AA0" w:rsidRDefault="00197AA0">
            <w:pPr>
              <w:tabs>
                <w:tab w:val="center" w:pos="4252"/>
                <w:tab w:val="right" w:pos="8504"/>
              </w:tabs>
              <w:spacing w:after="200" w:line="276" w:lineRule="auto"/>
              <w:ind w:right="44"/>
              <w:rPr>
                <w:rFonts w:ascii="Arial" w:hAnsi="Arial" w:cs="Arial"/>
                <w:sz w:val="18"/>
                <w:szCs w:val="18"/>
                <w:lang w:eastAsia="en-US"/>
              </w:rPr>
            </w:pPr>
            <w:r>
              <w:rPr>
                <w:rFonts w:ascii="Arial" w:hAnsi="Arial" w:cs="Arial"/>
                <w:sz w:val="18"/>
                <w:szCs w:val="18"/>
              </w:rPr>
              <w:t xml:space="preserve"> Shen Neng 1 (desde 2007)</w:t>
            </w:r>
          </w:p>
        </w:tc>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Longitud: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225,00 metros en total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217,00 metros entre perpendiculares</w:t>
            </w:r>
          </w:p>
          <w:p w:rsidR="00197AA0" w:rsidRDefault="00197AA0">
            <w:pPr>
              <w:tabs>
                <w:tab w:val="center" w:pos="4252"/>
                <w:tab w:val="right" w:pos="8504"/>
              </w:tabs>
              <w:spacing w:after="200" w:line="276" w:lineRule="auto"/>
              <w:ind w:right="44"/>
              <w:rPr>
                <w:rFonts w:ascii="Arial" w:hAnsi="Arial" w:cs="Arial"/>
                <w:sz w:val="18"/>
                <w:szCs w:val="18"/>
                <w:lang w:eastAsia="en-US"/>
              </w:rPr>
            </w:pPr>
          </w:p>
        </w:tc>
      </w:tr>
      <w:tr w:rsidR="00197AA0" w:rsidTr="00232C32">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Propietario: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Scinicariello de gestión de buques, Italia (1993-2007)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Shenzhen Energía (desde 2007) </w:t>
            </w:r>
          </w:p>
          <w:p w:rsidR="00197AA0" w:rsidRDefault="00197AA0">
            <w:pPr>
              <w:tabs>
                <w:tab w:val="center" w:pos="4252"/>
                <w:tab w:val="right" w:pos="8504"/>
              </w:tabs>
              <w:spacing w:line="360" w:lineRule="auto"/>
              <w:ind w:right="44"/>
              <w:jc w:val="both"/>
              <w:rPr>
                <w:rFonts w:ascii="Arial" w:hAnsi="Arial" w:cs="Arial"/>
                <w:sz w:val="18"/>
                <w:szCs w:val="18"/>
              </w:rPr>
            </w:pPr>
          </w:p>
          <w:p w:rsidR="00197AA0" w:rsidRDefault="00197AA0">
            <w:pPr>
              <w:tabs>
                <w:tab w:val="center" w:pos="4252"/>
                <w:tab w:val="right" w:pos="8504"/>
              </w:tabs>
              <w:spacing w:after="200" w:line="276" w:lineRule="auto"/>
              <w:ind w:right="44"/>
              <w:rPr>
                <w:rFonts w:ascii="Arial" w:hAnsi="Arial" w:cs="Arial"/>
                <w:sz w:val="18"/>
                <w:szCs w:val="18"/>
                <w:lang w:eastAsia="en-US"/>
              </w:rPr>
            </w:pPr>
          </w:p>
        </w:tc>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Tonelaje: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36,575 GT</w:t>
            </w:r>
          </w:p>
          <w:p w:rsidR="00197AA0" w:rsidRDefault="00197AA0">
            <w:pPr>
              <w:tabs>
                <w:tab w:val="center" w:pos="4252"/>
                <w:tab w:val="right" w:pos="8504"/>
              </w:tabs>
              <w:spacing w:after="200" w:line="276" w:lineRule="auto"/>
              <w:ind w:right="44"/>
              <w:rPr>
                <w:rFonts w:ascii="Arial" w:hAnsi="Arial" w:cs="Arial"/>
                <w:sz w:val="18"/>
                <w:szCs w:val="18"/>
                <w:lang w:eastAsia="en-US"/>
              </w:rPr>
            </w:pPr>
            <w:r>
              <w:rPr>
                <w:rFonts w:ascii="Arial" w:hAnsi="Arial" w:cs="Arial"/>
                <w:sz w:val="18"/>
                <w:szCs w:val="18"/>
              </w:rPr>
              <w:t xml:space="preserve"> 71,181 toneladas de peso muerto</w:t>
            </w:r>
          </w:p>
        </w:tc>
      </w:tr>
      <w:tr w:rsidR="00197AA0" w:rsidTr="00232C32">
        <w:trPr>
          <w:trHeight w:val="1559"/>
        </w:trPr>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Puerto de matrícula: </w:t>
            </w:r>
            <w:r>
              <w:rPr>
                <w:rFonts w:ascii="Arial" w:hAnsi="Arial" w:cs="Arial"/>
                <w:b/>
                <w:sz w:val="18"/>
                <w:szCs w:val="18"/>
              </w:rPr>
              <w:tab/>
              <w:t xml:space="preserve">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Italia (1993-2007)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China (desde 2007) </w:t>
            </w:r>
          </w:p>
          <w:p w:rsidR="00197AA0" w:rsidRDefault="00197AA0">
            <w:pPr>
              <w:tabs>
                <w:tab w:val="center" w:pos="4252"/>
                <w:tab w:val="right" w:pos="8504"/>
              </w:tabs>
              <w:spacing w:line="360" w:lineRule="auto"/>
              <w:ind w:right="44"/>
              <w:jc w:val="both"/>
              <w:rPr>
                <w:rFonts w:ascii="Arial" w:hAnsi="Arial" w:cs="Arial"/>
                <w:sz w:val="18"/>
                <w:szCs w:val="18"/>
              </w:rPr>
            </w:pPr>
          </w:p>
          <w:p w:rsidR="00197AA0" w:rsidRDefault="001D7573">
            <w:pPr>
              <w:tabs>
                <w:tab w:val="center" w:pos="4252"/>
                <w:tab w:val="right" w:pos="8504"/>
              </w:tabs>
              <w:spacing w:after="200" w:line="276" w:lineRule="auto"/>
              <w:ind w:right="44"/>
              <w:rPr>
                <w:rFonts w:ascii="Arial" w:hAnsi="Arial" w:cs="Arial"/>
                <w:sz w:val="18"/>
                <w:szCs w:val="18"/>
                <w:lang w:eastAsia="en-US"/>
              </w:rPr>
            </w:pPr>
            <w:r w:rsidRPr="001D7573">
              <w:rPr>
                <w:rFonts w:ascii="Arial" w:hAnsi="Arial" w:cs="Arial"/>
                <w:b/>
                <w:noProof/>
                <w:sz w:val="18"/>
                <w:szCs w:val="18"/>
              </w:rPr>
              <w:pict>
                <v:shape id="_x0000_s1083" type="#_x0000_t202" style="position:absolute;margin-left:200.35pt;margin-top:38.25pt;width:31.8pt;height:21pt;z-index:251710464;mso-height-percent:200;mso-height-percent:200;mso-width-relative:margin;mso-height-relative:margin" fillcolor="white [3212]" stroked="f">
                  <v:textbox style="mso-next-textbox:#_x0000_s1083;mso-fit-shape-to-text:t">
                    <w:txbxContent>
                      <w:p w:rsidR="00AC7D7B" w:rsidRDefault="00AC7D7B" w:rsidP="00F014B5">
                        <w:r>
                          <w:t>36</w:t>
                        </w:r>
                      </w:p>
                    </w:txbxContent>
                  </v:textbox>
                </v:shape>
              </w:pict>
            </w:r>
          </w:p>
        </w:tc>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Altura: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41,68 metros </w:t>
            </w:r>
          </w:p>
          <w:p w:rsidR="00197AA0" w:rsidRDefault="00197AA0">
            <w:pPr>
              <w:tabs>
                <w:tab w:val="center" w:pos="4252"/>
                <w:tab w:val="right" w:pos="8504"/>
              </w:tabs>
              <w:spacing w:after="200" w:line="276" w:lineRule="auto"/>
              <w:ind w:right="44"/>
              <w:rPr>
                <w:rFonts w:ascii="Arial" w:hAnsi="Arial" w:cs="Arial"/>
                <w:sz w:val="18"/>
                <w:szCs w:val="18"/>
                <w:lang w:eastAsia="en-US"/>
              </w:rPr>
            </w:pPr>
          </w:p>
        </w:tc>
      </w:tr>
      <w:tr w:rsidR="00197AA0" w:rsidTr="00232C32">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Astillero: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Sanoyas Hishino Meisho </w:t>
            </w:r>
          </w:p>
          <w:p w:rsidR="00197AA0" w:rsidRDefault="00197AA0">
            <w:pPr>
              <w:tabs>
                <w:tab w:val="center" w:pos="4252"/>
                <w:tab w:val="right" w:pos="8504"/>
              </w:tabs>
              <w:spacing w:line="360" w:lineRule="auto"/>
              <w:ind w:right="44"/>
              <w:jc w:val="both"/>
              <w:rPr>
                <w:rFonts w:ascii="Arial" w:hAnsi="Arial" w:cs="Arial"/>
                <w:sz w:val="18"/>
                <w:szCs w:val="18"/>
              </w:rPr>
            </w:pPr>
          </w:p>
          <w:p w:rsidR="00197AA0" w:rsidRDefault="00197AA0">
            <w:pPr>
              <w:tabs>
                <w:tab w:val="center" w:pos="4252"/>
                <w:tab w:val="right" w:pos="8504"/>
              </w:tabs>
              <w:spacing w:after="200" w:line="276" w:lineRule="auto"/>
              <w:ind w:right="44"/>
              <w:rPr>
                <w:rFonts w:ascii="Arial" w:hAnsi="Arial" w:cs="Arial"/>
                <w:sz w:val="18"/>
                <w:szCs w:val="18"/>
                <w:lang w:eastAsia="en-US"/>
              </w:rPr>
            </w:pPr>
          </w:p>
        </w:tc>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Calado: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13.29 metros </w:t>
            </w:r>
          </w:p>
          <w:p w:rsidR="00197AA0" w:rsidRDefault="00197AA0">
            <w:pPr>
              <w:tabs>
                <w:tab w:val="center" w:pos="4252"/>
                <w:tab w:val="right" w:pos="8504"/>
              </w:tabs>
              <w:spacing w:after="200" w:line="276" w:lineRule="auto"/>
              <w:ind w:right="44"/>
              <w:rPr>
                <w:rFonts w:ascii="Arial" w:hAnsi="Arial" w:cs="Arial"/>
                <w:sz w:val="18"/>
                <w:szCs w:val="18"/>
                <w:lang w:eastAsia="en-US"/>
              </w:rPr>
            </w:pPr>
          </w:p>
        </w:tc>
      </w:tr>
      <w:tr w:rsidR="00197AA0" w:rsidTr="00232C32">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r>
              <w:rPr>
                <w:rFonts w:ascii="Arial" w:hAnsi="Arial" w:cs="Arial"/>
                <w:b/>
                <w:sz w:val="18"/>
                <w:szCs w:val="18"/>
              </w:rPr>
              <w:t xml:space="preserve">Lanzamiento: </w:t>
            </w:r>
          </w:p>
          <w:p w:rsidR="00197AA0" w:rsidRDefault="00197AA0">
            <w:pPr>
              <w:tabs>
                <w:tab w:val="center" w:pos="4252"/>
                <w:tab w:val="right" w:pos="8504"/>
              </w:tabs>
              <w:spacing w:after="200" w:line="276" w:lineRule="auto"/>
              <w:ind w:right="44"/>
              <w:rPr>
                <w:rFonts w:ascii="Arial" w:hAnsi="Arial" w:cs="Arial"/>
                <w:sz w:val="18"/>
                <w:szCs w:val="18"/>
                <w:lang w:eastAsia="en-US"/>
              </w:rPr>
            </w:pPr>
            <w:r>
              <w:rPr>
                <w:rFonts w:ascii="Arial" w:hAnsi="Arial" w:cs="Arial"/>
                <w:sz w:val="18"/>
                <w:szCs w:val="18"/>
              </w:rPr>
              <w:t xml:space="preserve"> 1993</w:t>
            </w:r>
          </w:p>
        </w:tc>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r>
              <w:rPr>
                <w:rFonts w:ascii="Arial" w:hAnsi="Arial" w:cs="Arial"/>
                <w:b/>
                <w:sz w:val="18"/>
                <w:szCs w:val="18"/>
              </w:rPr>
              <w:t>Potencia instalada:</w:t>
            </w:r>
          </w:p>
          <w:p w:rsidR="00197AA0" w:rsidRDefault="00197AA0">
            <w:pPr>
              <w:tabs>
                <w:tab w:val="center" w:pos="4252"/>
                <w:tab w:val="right" w:pos="8504"/>
              </w:tabs>
              <w:spacing w:after="200" w:line="276" w:lineRule="auto"/>
              <w:ind w:right="44"/>
              <w:rPr>
                <w:rFonts w:ascii="Arial" w:hAnsi="Arial" w:cs="Arial"/>
                <w:sz w:val="18"/>
                <w:szCs w:val="18"/>
                <w:lang w:eastAsia="en-US"/>
              </w:rPr>
            </w:pPr>
            <w:r>
              <w:rPr>
                <w:rFonts w:ascii="Arial" w:hAnsi="Arial" w:cs="Arial"/>
                <w:sz w:val="18"/>
                <w:szCs w:val="18"/>
              </w:rPr>
              <w:t xml:space="preserve"> Sulzer 2SA motor diesel 6RTA62</w:t>
            </w:r>
          </w:p>
        </w:tc>
      </w:tr>
      <w:tr w:rsidR="00197AA0" w:rsidTr="00232C32">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Identificación: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Indicativo de llamada BXAN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Número IMO 9040871 </w:t>
            </w:r>
          </w:p>
          <w:p w:rsidR="00197AA0" w:rsidRDefault="00197AA0">
            <w:pPr>
              <w:tabs>
                <w:tab w:val="center" w:pos="4252"/>
                <w:tab w:val="right" w:pos="8504"/>
              </w:tabs>
              <w:spacing w:line="360" w:lineRule="auto"/>
              <w:ind w:right="44"/>
              <w:jc w:val="both"/>
              <w:rPr>
                <w:rFonts w:ascii="Arial" w:hAnsi="Arial" w:cs="Arial"/>
                <w:sz w:val="18"/>
                <w:szCs w:val="18"/>
              </w:rPr>
            </w:pPr>
            <w:r>
              <w:rPr>
                <w:rFonts w:ascii="Arial" w:hAnsi="Arial" w:cs="Arial"/>
                <w:sz w:val="18"/>
                <w:szCs w:val="18"/>
              </w:rPr>
              <w:t xml:space="preserve"> Número MMSI 413461550 </w:t>
            </w:r>
          </w:p>
          <w:p w:rsidR="00197AA0" w:rsidRDefault="00197AA0">
            <w:pPr>
              <w:tabs>
                <w:tab w:val="center" w:pos="4252"/>
                <w:tab w:val="right" w:pos="8504"/>
              </w:tabs>
              <w:spacing w:line="360" w:lineRule="auto"/>
              <w:ind w:right="44"/>
              <w:jc w:val="both"/>
              <w:rPr>
                <w:rFonts w:ascii="Arial" w:hAnsi="Arial" w:cs="Arial"/>
                <w:sz w:val="18"/>
                <w:szCs w:val="18"/>
              </w:rPr>
            </w:pPr>
          </w:p>
          <w:p w:rsidR="00197AA0" w:rsidRDefault="00197AA0">
            <w:pPr>
              <w:tabs>
                <w:tab w:val="center" w:pos="4252"/>
                <w:tab w:val="right" w:pos="8504"/>
              </w:tabs>
              <w:spacing w:after="200" w:line="276" w:lineRule="auto"/>
              <w:ind w:right="44"/>
              <w:rPr>
                <w:rFonts w:ascii="Arial" w:hAnsi="Arial" w:cs="Arial"/>
                <w:sz w:val="18"/>
                <w:szCs w:val="18"/>
                <w:lang w:eastAsia="en-US"/>
              </w:rPr>
            </w:pPr>
          </w:p>
        </w:tc>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p>
          <w:p w:rsidR="00197AA0" w:rsidRDefault="00197AA0">
            <w:pPr>
              <w:tabs>
                <w:tab w:val="center" w:pos="4252"/>
                <w:tab w:val="right" w:pos="8504"/>
              </w:tabs>
              <w:spacing w:line="360" w:lineRule="auto"/>
              <w:ind w:right="44"/>
              <w:jc w:val="both"/>
              <w:rPr>
                <w:rFonts w:ascii="Arial" w:hAnsi="Arial" w:cs="Arial"/>
                <w:b/>
                <w:sz w:val="18"/>
                <w:szCs w:val="18"/>
              </w:rPr>
            </w:pPr>
            <w:r>
              <w:rPr>
                <w:rFonts w:ascii="Arial" w:hAnsi="Arial" w:cs="Arial"/>
                <w:b/>
                <w:sz w:val="18"/>
                <w:szCs w:val="18"/>
              </w:rPr>
              <w:t xml:space="preserve">Propulsión: </w:t>
            </w:r>
          </w:p>
          <w:p w:rsidR="00197AA0" w:rsidRDefault="00197AA0">
            <w:pPr>
              <w:tabs>
                <w:tab w:val="center" w:pos="4252"/>
                <w:tab w:val="right" w:pos="8504"/>
              </w:tabs>
              <w:spacing w:after="200" w:line="276" w:lineRule="auto"/>
              <w:ind w:right="44"/>
              <w:rPr>
                <w:rFonts w:ascii="Arial" w:hAnsi="Arial" w:cs="Arial"/>
                <w:sz w:val="18"/>
                <w:szCs w:val="18"/>
                <w:lang w:eastAsia="en-US"/>
              </w:rPr>
            </w:pPr>
            <w:r>
              <w:rPr>
                <w:rFonts w:ascii="Arial" w:hAnsi="Arial" w:cs="Arial"/>
                <w:sz w:val="18"/>
                <w:szCs w:val="18"/>
              </w:rPr>
              <w:t xml:space="preserve"> 1 x tornillo de hélice</w:t>
            </w:r>
          </w:p>
        </w:tc>
      </w:tr>
      <w:tr w:rsidR="00197AA0" w:rsidTr="00232C32">
        <w:tc>
          <w:tcPr>
            <w:tcW w:w="4489" w:type="dxa"/>
          </w:tcPr>
          <w:p w:rsidR="00197AA0" w:rsidRDefault="00197AA0">
            <w:pPr>
              <w:tabs>
                <w:tab w:val="center" w:pos="4252"/>
                <w:tab w:val="right" w:pos="8504"/>
              </w:tabs>
              <w:spacing w:after="200" w:line="276" w:lineRule="auto"/>
              <w:ind w:right="44"/>
              <w:rPr>
                <w:rFonts w:ascii="Arial" w:hAnsi="Arial" w:cs="Arial"/>
                <w:sz w:val="18"/>
                <w:szCs w:val="18"/>
                <w:lang w:eastAsia="en-US"/>
              </w:rPr>
            </w:pPr>
          </w:p>
        </w:tc>
        <w:tc>
          <w:tcPr>
            <w:tcW w:w="4489" w:type="dxa"/>
          </w:tcPr>
          <w:p w:rsidR="00197AA0" w:rsidRDefault="00197AA0">
            <w:pPr>
              <w:tabs>
                <w:tab w:val="center" w:pos="4252"/>
                <w:tab w:val="right" w:pos="8504"/>
              </w:tabs>
              <w:spacing w:line="360" w:lineRule="auto"/>
              <w:ind w:right="44"/>
              <w:jc w:val="both"/>
              <w:rPr>
                <w:rFonts w:ascii="Arial" w:hAnsi="Arial" w:cs="Arial"/>
                <w:b/>
                <w:sz w:val="18"/>
                <w:szCs w:val="18"/>
                <w:lang w:eastAsia="en-US"/>
              </w:rPr>
            </w:pPr>
            <w:r>
              <w:rPr>
                <w:rFonts w:ascii="Arial" w:hAnsi="Arial" w:cs="Arial"/>
                <w:b/>
                <w:sz w:val="18"/>
                <w:szCs w:val="18"/>
              </w:rPr>
              <w:t xml:space="preserve">Velocidad: </w:t>
            </w:r>
          </w:p>
          <w:p w:rsidR="00197AA0" w:rsidRDefault="00197AA0">
            <w:pPr>
              <w:tabs>
                <w:tab w:val="center" w:pos="4252"/>
                <w:tab w:val="right" w:pos="8504"/>
              </w:tabs>
              <w:spacing w:after="200" w:line="276" w:lineRule="auto"/>
              <w:ind w:right="44"/>
              <w:rPr>
                <w:rFonts w:ascii="Arial" w:hAnsi="Arial" w:cs="Arial"/>
                <w:sz w:val="18"/>
                <w:szCs w:val="18"/>
                <w:lang w:eastAsia="en-US"/>
              </w:rPr>
            </w:pPr>
            <w:r>
              <w:rPr>
                <w:rFonts w:ascii="Arial" w:hAnsi="Arial" w:cs="Arial"/>
                <w:sz w:val="18"/>
                <w:szCs w:val="18"/>
              </w:rPr>
              <w:t xml:space="preserve"> 13.5 nudos (25.0 km / h)</w:t>
            </w:r>
          </w:p>
        </w:tc>
      </w:tr>
    </w:tbl>
    <w:p w:rsidR="00197AA0" w:rsidRDefault="00197AA0" w:rsidP="00232C32">
      <w:pPr>
        <w:spacing w:line="360" w:lineRule="auto"/>
        <w:ind w:right="44"/>
        <w:jc w:val="both"/>
        <w:rPr>
          <w:rFonts w:ascii="Arial" w:hAnsi="Arial" w:cs="Arial"/>
          <w:sz w:val="18"/>
          <w:szCs w:val="18"/>
          <w:lang w:eastAsia="en-US"/>
        </w:rPr>
      </w:pPr>
      <w:r>
        <w:rPr>
          <w:rFonts w:ascii="Arial" w:hAnsi="Arial" w:cs="Arial"/>
          <w:sz w:val="18"/>
          <w:szCs w:val="18"/>
        </w:rPr>
        <w:t>Fuente: http://e-ships.net/index/S14.shtml</w:t>
      </w:r>
    </w:p>
    <w:p w:rsidR="00197AA0" w:rsidRDefault="00197AA0" w:rsidP="00232C32">
      <w:pPr>
        <w:spacing w:line="360" w:lineRule="auto"/>
        <w:ind w:right="44"/>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Ante la situación planteada resulta interesante hacer una breve cronología de la tragedia, y es así como se puede decir que la embarcación Shen Neng 1, se estancó en la Gran Barrera de Coral, El 3 de abril de 2010, realizando un viaje de Gladstone, Queensland a China con un cargamento de 65,000 toneladas de carbón y 975 toneladas de petróleo, encallando 70 kilómetros fuera de Great Keppel Island, Australia.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sidRPr="001D7573">
        <w:rPr>
          <w:rFonts w:ascii="Arial" w:hAnsi="Arial" w:cs="Arial"/>
          <w:b/>
          <w:noProof/>
          <w:sz w:val="18"/>
          <w:szCs w:val="18"/>
        </w:rPr>
        <w:pict>
          <v:shape id="_x0000_s1084" type="#_x0000_t202" style="position:absolute;left:0;text-align:left;margin-left:222.35pt;margin-top:239.75pt;width:31.8pt;height:21pt;z-index:251711488;mso-height-percent:200;mso-height-percent:200;mso-width-relative:margin;mso-height-relative:margin" fillcolor="white [3212]" stroked="f">
            <v:textbox style="mso-next-textbox:#_x0000_s1084;mso-fit-shape-to-text:t">
              <w:txbxContent>
                <w:p w:rsidR="00AC7D7B" w:rsidRDefault="00AC7D7B" w:rsidP="00F014B5">
                  <w:r>
                    <w:t>37</w:t>
                  </w:r>
                </w:p>
              </w:txbxContent>
            </v:textbox>
          </v:shape>
        </w:pict>
      </w:r>
      <w:r w:rsidR="00197AA0" w:rsidRPr="00201277">
        <w:rPr>
          <w:rFonts w:ascii="Arial" w:hAnsi="Arial" w:cs="Arial"/>
          <w:sz w:val="22"/>
          <w:szCs w:val="22"/>
        </w:rPr>
        <w:t>A raíz del accidente, el buque fue severamente dañado, así como el timón y el motor fueron dañados en tierra, uno de los tanques del buque con 150 toneladas de crudo pesado fue perforado</w:t>
      </w:r>
      <w:r w:rsidR="00197AA0" w:rsidRPr="00201277">
        <w:rPr>
          <w:rStyle w:val="Refdenotaalpie"/>
          <w:rFonts w:ascii="Arial" w:hAnsi="Arial" w:cs="Arial"/>
          <w:sz w:val="22"/>
          <w:szCs w:val="22"/>
        </w:rPr>
        <w:footnoteReference w:id="66"/>
      </w:r>
      <w:r w:rsidR="00197AA0" w:rsidRPr="00201277">
        <w:rPr>
          <w:rFonts w:ascii="Arial" w:hAnsi="Arial" w:cs="Arial"/>
          <w:sz w:val="22"/>
          <w:szCs w:val="22"/>
        </w:rPr>
        <w:t xml:space="preserve"> quedando inmovilizado. El barco encalló 5,8 millas náuticas (10,7 km, 6,7 millas) fuera de la vía de navegación. En una zona restringida de la que forma parte de la Gran Barrera de Arrecifes del Parque Marino, un Patrimonio de la </w:t>
      </w:r>
      <w:r w:rsidR="00197AA0" w:rsidRPr="00201277">
        <w:rPr>
          <w:rFonts w:ascii="Arial" w:hAnsi="Arial" w:cs="Arial"/>
          <w:sz w:val="22"/>
          <w:szCs w:val="22"/>
        </w:rPr>
        <w:lastRenderedPageBreak/>
        <w:t>Humanidad designado por la UNESCO</w:t>
      </w:r>
      <w:r w:rsidR="00197AA0" w:rsidRPr="00201277">
        <w:rPr>
          <w:rStyle w:val="Refdenotaalpie"/>
          <w:rFonts w:ascii="Arial" w:hAnsi="Arial" w:cs="Arial"/>
          <w:sz w:val="22"/>
          <w:szCs w:val="22"/>
        </w:rPr>
        <w:footnoteReference w:customMarkFollows="1" w:id="67"/>
        <w:sym w:font="Symbol" w:char="F02A"/>
      </w:r>
      <w:r w:rsidR="00197AA0" w:rsidRPr="00201277">
        <w:rPr>
          <w:rFonts w:ascii="Arial" w:hAnsi="Arial" w:cs="Arial"/>
          <w:sz w:val="22"/>
          <w:szCs w:val="22"/>
        </w:rPr>
        <w:t>, la ruta de navegación que realizaba dicha embarcación era ilegal y no autorizado, al respecto Anna Bligh, la responsable de Gobierno del Estado de Queensland apunta:</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left="708" w:right="44"/>
        <w:jc w:val="both"/>
        <w:rPr>
          <w:rFonts w:ascii="Arial" w:hAnsi="Arial" w:cs="Arial"/>
          <w:i/>
          <w:sz w:val="22"/>
          <w:szCs w:val="22"/>
          <w:lang w:eastAsia="es-SV"/>
        </w:rPr>
      </w:pPr>
      <w:r w:rsidRPr="00201277">
        <w:rPr>
          <w:rFonts w:ascii="Arial" w:hAnsi="Arial" w:cs="Arial"/>
          <w:i/>
          <w:sz w:val="22"/>
          <w:szCs w:val="22"/>
          <w:lang w:eastAsia="es-SV"/>
        </w:rPr>
        <w:t>Shen Neng 1 no debería haber entrado en el área restringida de la Gran Barrera. Se trata de una parte muy delicada, de uno de los espacios más preciados de la Tierra. Hay canales de paso autorizados por los cuales debería haber navegado prioritariamente. De hecho, se encontraba a 15 kilómetros de distancia del canal marítimo más cercano</w:t>
      </w:r>
      <w:r w:rsidRPr="00201277">
        <w:rPr>
          <w:rStyle w:val="Refdenotaalpie"/>
          <w:rFonts w:ascii="Arial" w:hAnsi="Arial" w:cs="Arial"/>
          <w:i/>
          <w:sz w:val="22"/>
          <w:szCs w:val="22"/>
          <w:lang w:eastAsia="es-SV"/>
        </w:rPr>
        <w:footnoteReference w:id="68"/>
      </w:r>
      <w:r w:rsidRPr="00201277">
        <w:rPr>
          <w:rFonts w:ascii="Arial" w:hAnsi="Arial" w:cs="Arial"/>
          <w:i/>
          <w:sz w:val="22"/>
          <w:szCs w:val="22"/>
          <w:lang w:eastAsia="es-SV"/>
        </w:rPr>
        <w:t>.</w:t>
      </w:r>
    </w:p>
    <w:p w:rsidR="00197AA0" w:rsidRPr="00201277" w:rsidRDefault="00197AA0" w:rsidP="00232C32">
      <w:pPr>
        <w:spacing w:line="360" w:lineRule="auto"/>
        <w:ind w:right="44" w:firstLine="567"/>
        <w:jc w:val="both"/>
        <w:rPr>
          <w:rFonts w:ascii="Arial" w:hAnsi="Arial" w:cs="Arial"/>
          <w:sz w:val="22"/>
          <w:szCs w:val="22"/>
          <w:lang w:eastAsia="es-SV"/>
        </w:rPr>
      </w:pPr>
    </w:p>
    <w:p w:rsidR="00197AA0" w:rsidRDefault="00197AA0" w:rsidP="00232C32">
      <w:pPr>
        <w:spacing w:line="360" w:lineRule="auto"/>
        <w:ind w:right="44" w:firstLine="567"/>
        <w:jc w:val="both"/>
        <w:rPr>
          <w:rFonts w:ascii="Arial" w:hAnsi="Arial" w:cs="Arial"/>
          <w:sz w:val="22"/>
          <w:szCs w:val="22"/>
          <w:lang w:eastAsia="es-SV"/>
        </w:rPr>
      </w:pPr>
      <w:r w:rsidRPr="00201277">
        <w:rPr>
          <w:rFonts w:ascii="Arial" w:hAnsi="Arial" w:cs="Arial"/>
          <w:sz w:val="22"/>
          <w:szCs w:val="22"/>
          <w:lang w:eastAsia="es-SV"/>
        </w:rPr>
        <w:t>Al momento del accidente se produjo una fuga de petróleo de 3 kilómetros de longitud y 90 metros de anchura, después de chocar a gran velocidad contra un banco de arena. La administración australiana advirtió que el barco se encontraba en aguas protegidas, muy lejos de las rutas habituales de navegación</w:t>
      </w:r>
      <w:r w:rsidRPr="00201277">
        <w:rPr>
          <w:rStyle w:val="Refdenotaalpie"/>
          <w:rFonts w:ascii="Arial" w:hAnsi="Arial" w:cs="Arial"/>
          <w:sz w:val="22"/>
          <w:szCs w:val="22"/>
          <w:lang w:eastAsia="es-SV"/>
        </w:rPr>
        <w:footnoteReference w:id="69"/>
      </w:r>
      <w:r w:rsidRPr="00201277">
        <w:rPr>
          <w:rFonts w:ascii="Arial" w:hAnsi="Arial" w:cs="Arial"/>
          <w:sz w:val="22"/>
          <w:szCs w:val="22"/>
          <w:lang w:eastAsia="es-SV"/>
        </w:rPr>
        <w:t>, por lo que un derrame amenazaría, a esta reserva marina; que es donde están ubicados una gran cantidad de corales muy especiales; la colonia de aves más importante del arrecife que, alberga a unas 500,000 aves marinas y una colonia en la que anidan las tortugas</w:t>
      </w:r>
      <w:r w:rsidRPr="00201277">
        <w:rPr>
          <w:rStyle w:val="Refdenotaalpie"/>
          <w:rFonts w:ascii="Arial" w:hAnsi="Arial" w:cs="Arial"/>
          <w:sz w:val="22"/>
          <w:szCs w:val="22"/>
          <w:lang w:eastAsia="es-SV"/>
        </w:rPr>
        <w:footnoteReference w:id="70"/>
      </w:r>
      <w:r w:rsidRPr="00201277">
        <w:rPr>
          <w:rFonts w:ascii="Arial" w:hAnsi="Arial" w:cs="Arial"/>
          <w:sz w:val="22"/>
          <w:szCs w:val="22"/>
          <w:lang w:eastAsia="es-SV"/>
        </w:rPr>
        <w:t>.</w:t>
      </w:r>
    </w:p>
    <w:p w:rsidR="00197AA0" w:rsidRPr="00201277" w:rsidRDefault="00197AA0" w:rsidP="00232C32">
      <w:pPr>
        <w:spacing w:line="360" w:lineRule="auto"/>
        <w:ind w:right="44" w:firstLine="567"/>
        <w:jc w:val="both"/>
        <w:rPr>
          <w:rFonts w:ascii="Arial" w:hAnsi="Arial" w:cs="Arial"/>
          <w:sz w:val="22"/>
          <w:szCs w:val="22"/>
          <w:lang w:eastAsia="es-SV"/>
        </w:rPr>
      </w:pPr>
    </w:p>
    <w:p w:rsidR="00197AA0" w:rsidRPr="00201277" w:rsidRDefault="00197AA0" w:rsidP="00232C32">
      <w:pPr>
        <w:spacing w:line="360" w:lineRule="auto"/>
        <w:ind w:right="44" w:firstLine="567"/>
        <w:jc w:val="both"/>
        <w:rPr>
          <w:rFonts w:ascii="Arial" w:hAnsi="Arial" w:cs="Arial"/>
          <w:sz w:val="22"/>
          <w:szCs w:val="22"/>
          <w:lang w:eastAsia="es-SV"/>
        </w:rPr>
      </w:pPr>
      <w:r w:rsidRPr="00201277">
        <w:rPr>
          <w:rFonts w:ascii="Arial" w:hAnsi="Arial" w:cs="Arial"/>
          <w:sz w:val="22"/>
          <w:szCs w:val="22"/>
          <w:lang w:eastAsia="es-SV"/>
        </w:rPr>
        <w:t>Debido a la tragedia sucedida se realizaron esfuerzos para mitigar los daños, expertos han limpiado las manchas de petróleo cercanas al barco, por medio de la pulverización desde el aire de dispersantes químicos para romper una mancha de unos 3 kilómetros de largo y unos 90 metros de ancho, y concentraron sus esfuerzos para evitar que se produjera una fuga de mayor tamaño. Por otra parte expertos en salvamento subieron a bordo del buque chino encallado con una fuga de petróleo y utilizaron un barco de remolque para que se estabilizara, de esta forma se evitó que los fuertes vientos y la fuertes corrientes marinas partieran la embarcación, según informó el Gobierno del Estado Queensland</w:t>
      </w:r>
      <w:r w:rsidRPr="00201277">
        <w:rPr>
          <w:rStyle w:val="Refdenotaalpie"/>
          <w:rFonts w:ascii="Arial" w:hAnsi="Arial" w:cs="Arial"/>
          <w:sz w:val="22"/>
          <w:szCs w:val="22"/>
          <w:lang w:eastAsia="es-SV"/>
        </w:rPr>
        <w:footnoteReference w:id="71"/>
      </w:r>
      <w:r w:rsidRPr="00201277">
        <w:rPr>
          <w:rFonts w:ascii="Arial" w:hAnsi="Arial" w:cs="Arial"/>
          <w:sz w:val="22"/>
          <w:szCs w:val="22"/>
          <w:lang w:eastAsia="es-SV"/>
        </w:rPr>
        <w:t>.</w:t>
      </w:r>
    </w:p>
    <w:p w:rsidR="00197AA0" w:rsidRDefault="001D7573" w:rsidP="00232C32">
      <w:pPr>
        <w:spacing w:line="360" w:lineRule="auto"/>
        <w:ind w:right="44" w:firstLine="567"/>
        <w:jc w:val="both"/>
        <w:rPr>
          <w:rFonts w:ascii="Arial" w:hAnsi="Arial" w:cs="Arial"/>
          <w:sz w:val="22"/>
          <w:szCs w:val="22"/>
          <w:lang w:eastAsia="es-SV"/>
        </w:rPr>
      </w:pPr>
      <w:r>
        <w:rPr>
          <w:rFonts w:ascii="Arial" w:hAnsi="Arial" w:cs="Arial"/>
          <w:noProof/>
          <w:sz w:val="22"/>
          <w:szCs w:val="22"/>
        </w:rPr>
        <w:lastRenderedPageBreak/>
        <w:pict>
          <v:shape id="_x0000_s1085" type="#_x0000_t202" style="position:absolute;left:0;text-align:left;margin-left:160.3pt;margin-top:217pt;width:31.8pt;height:21pt;z-index:251712512;mso-height-percent:200;mso-height-percent:200;mso-width-relative:margin;mso-height-relative:margin" fillcolor="white [3212]" stroked="f">
            <v:textbox style="mso-next-textbox:#_x0000_s1085;mso-fit-shape-to-text:t">
              <w:txbxContent>
                <w:p w:rsidR="00AC7D7B" w:rsidRDefault="00AC7D7B" w:rsidP="006F39C3">
                  <w:r>
                    <w:t>38</w:t>
                  </w:r>
                </w:p>
              </w:txbxContent>
            </v:textbox>
          </v:shape>
        </w:pict>
      </w:r>
      <w:r w:rsidR="00197AA0" w:rsidRPr="00201277">
        <w:rPr>
          <w:rFonts w:ascii="Arial" w:hAnsi="Arial" w:cs="Arial"/>
          <w:sz w:val="22"/>
          <w:szCs w:val="22"/>
          <w:lang w:eastAsia="es-SV"/>
        </w:rPr>
        <w:t xml:space="preserve">Uno de los daños producidos a la Gran Barrera de Coral, ha sido causado por la pintura con la que fue revestido el Shen Neng 1, pintura que es usada en las embarcaciones para evitar que se le incrusten percebes, un crustáceo de duro caparazón que se adhiere a las rocas y al casco de los buques. Dicha pintura posee una capa protectora que contiene metales pesados que resultan tóxicos. Este material quedó pegado a los corales y afectó en gran manera el crecimiento de la vida marina. </w:t>
      </w:r>
    </w:p>
    <w:p w:rsidR="00197AA0" w:rsidRPr="00201277" w:rsidRDefault="00197AA0" w:rsidP="00232C32">
      <w:pPr>
        <w:spacing w:line="360" w:lineRule="auto"/>
        <w:ind w:right="44" w:firstLine="567"/>
        <w:jc w:val="both"/>
        <w:rPr>
          <w:rFonts w:ascii="Arial" w:hAnsi="Arial" w:cs="Arial"/>
          <w:sz w:val="22"/>
          <w:szCs w:val="22"/>
          <w:lang w:eastAsia="es-SV"/>
        </w:rPr>
      </w:pPr>
    </w:p>
    <w:p w:rsidR="00197AA0" w:rsidRDefault="00197AA0" w:rsidP="00232C32">
      <w:pPr>
        <w:spacing w:line="360" w:lineRule="auto"/>
        <w:ind w:right="44" w:firstLine="567"/>
        <w:jc w:val="both"/>
        <w:rPr>
          <w:rFonts w:ascii="Arial" w:hAnsi="Arial" w:cs="Arial"/>
          <w:sz w:val="22"/>
          <w:szCs w:val="22"/>
          <w:lang w:eastAsia="es-SV"/>
        </w:rPr>
      </w:pPr>
      <w:r w:rsidRPr="00201277">
        <w:rPr>
          <w:rFonts w:ascii="Arial" w:hAnsi="Arial" w:cs="Arial"/>
          <w:sz w:val="22"/>
          <w:szCs w:val="22"/>
          <w:lang w:eastAsia="es-SV"/>
        </w:rPr>
        <w:t xml:space="preserve">Posteriormente se abrieron dos investigaciones, la primera realizada por la por la Autoridad Europea de Seguridad Marítima de Australia (AMSA) y la Oficina de Seguridad del Transporte de Australia (ATSB). La responsable del Estado de Queensland Anna </w:t>
      </w:r>
      <w:r w:rsidRPr="00201277">
        <w:rPr>
          <w:rFonts w:ascii="Arial" w:hAnsi="Arial" w:cs="Arial"/>
          <w:sz w:val="22"/>
          <w:szCs w:val="22"/>
        </w:rPr>
        <w:t>Bligh,</w:t>
      </w:r>
      <w:r w:rsidRPr="00201277">
        <w:rPr>
          <w:rFonts w:ascii="Arial" w:hAnsi="Arial" w:cs="Arial"/>
          <w:sz w:val="22"/>
          <w:szCs w:val="22"/>
          <w:lang w:eastAsia="es-SV"/>
        </w:rPr>
        <w:t xml:space="preserve"> dijo que el Gobierno realizó la investigación por que el barco estaba lejos de la ruta, por su parte la Oficina de Seguridad del Transporte de Australia designó tres investigadores para realizar entrevistas y hallar pruebas, el 6 de abril se embarcaron para realizar entrevistas a la tripulación. El capitán y el timonel del carguero chino, que encalló en el arrecife y derramó crudo al desviarse de su itinerario, fueron arrestados bajo la acusación de dañar la principal atracción turística del país tras la investigación llevada a cabo. </w:t>
      </w:r>
    </w:p>
    <w:p w:rsidR="00197AA0" w:rsidRPr="00201277" w:rsidRDefault="00197AA0" w:rsidP="00232C32">
      <w:pPr>
        <w:spacing w:line="360" w:lineRule="auto"/>
        <w:ind w:right="44" w:firstLine="567"/>
        <w:jc w:val="both"/>
        <w:rPr>
          <w:rFonts w:ascii="Arial" w:hAnsi="Arial" w:cs="Arial"/>
          <w:sz w:val="22"/>
          <w:szCs w:val="22"/>
          <w:lang w:eastAsia="es-SV"/>
        </w:rPr>
      </w:pPr>
    </w:p>
    <w:p w:rsidR="00197AA0" w:rsidRDefault="00197AA0" w:rsidP="00232C32">
      <w:pPr>
        <w:spacing w:line="360" w:lineRule="auto"/>
        <w:ind w:right="44" w:firstLine="567"/>
        <w:jc w:val="both"/>
        <w:rPr>
          <w:rFonts w:ascii="Arial" w:hAnsi="Arial" w:cs="Arial"/>
          <w:sz w:val="22"/>
          <w:szCs w:val="22"/>
          <w:lang w:eastAsia="es-SV"/>
        </w:rPr>
      </w:pPr>
      <w:r w:rsidRPr="00201277">
        <w:rPr>
          <w:rFonts w:ascii="Arial" w:hAnsi="Arial" w:cs="Arial"/>
          <w:sz w:val="22"/>
          <w:szCs w:val="22"/>
          <w:lang w:eastAsia="es-SV"/>
        </w:rPr>
        <w:t>Por su parte la legislación australiana condenó a la empresa a pagar un millón de dólares locales (920,000 dólares estadounidenses) y 220,000 dólares locales (unos 200,000 dólares estadounidenses) al capitán del barco en motivo a los costes de limpieza y salvamento</w:t>
      </w:r>
      <w:r w:rsidRPr="00201277">
        <w:rPr>
          <w:rStyle w:val="Refdenotaalpie"/>
          <w:rFonts w:ascii="Arial" w:hAnsi="Arial" w:cs="Arial"/>
          <w:sz w:val="22"/>
          <w:szCs w:val="22"/>
          <w:lang w:eastAsia="es-SV"/>
        </w:rPr>
        <w:footnoteReference w:id="72"/>
      </w:r>
      <w:r w:rsidRPr="00201277">
        <w:rPr>
          <w:rFonts w:ascii="Arial" w:hAnsi="Arial" w:cs="Arial"/>
          <w:sz w:val="22"/>
          <w:szCs w:val="22"/>
          <w:lang w:eastAsia="es-SV"/>
        </w:rPr>
        <w:t>, dado que la zona afectada, como se mencionó anteriormente, es el mayor arrecife coralino del mundo, con casi 3,000 pequeñas barreras y más de 900 islas a lo largo de 2,600 kilómetros en el Océano Pacífico.</w:t>
      </w:r>
    </w:p>
    <w:p w:rsidR="00197AA0" w:rsidRPr="00201277" w:rsidRDefault="00197AA0" w:rsidP="00232C32">
      <w:pPr>
        <w:spacing w:line="360" w:lineRule="auto"/>
        <w:ind w:right="44" w:firstLine="567"/>
        <w:jc w:val="both"/>
        <w:rPr>
          <w:rFonts w:ascii="Arial" w:hAnsi="Arial" w:cs="Arial"/>
          <w:sz w:val="22"/>
          <w:szCs w:val="22"/>
          <w:lang w:eastAsia="es-SV"/>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Por lo tanto resulta interesante mencionar que la desgracia ocurrida en la Gran Barrera de Coral en Australia, no es un fenómeno aislado, han ocurrido con anterioridad catástrofes similares, sin embargo cabe hacer notar que en esa  zona específica se desplazan sin autorización otras embarcaciones, al respecto el Consejo de Conservación Capricornio</w:t>
      </w:r>
      <w:r w:rsidRPr="00201277">
        <w:rPr>
          <w:rStyle w:val="Refdenotaalpie"/>
          <w:rFonts w:ascii="Arial" w:hAnsi="Arial" w:cs="Arial"/>
          <w:sz w:val="22"/>
          <w:szCs w:val="22"/>
        </w:rPr>
        <w:footnoteReference w:customMarkFollows="1" w:id="73"/>
        <w:sym w:font="Symbol" w:char="F02A"/>
      </w:r>
      <w:r w:rsidRPr="00201277">
        <w:rPr>
          <w:rFonts w:ascii="Arial" w:hAnsi="Arial" w:cs="Arial"/>
          <w:sz w:val="22"/>
          <w:szCs w:val="22"/>
        </w:rPr>
        <w:t xml:space="preserve"> apunta: </w:t>
      </w:r>
      <w:r w:rsidRPr="00201277">
        <w:rPr>
          <w:rFonts w:ascii="Arial" w:hAnsi="Arial" w:cs="Arial"/>
          <w:i/>
          <w:sz w:val="22"/>
          <w:szCs w:val="22"/>
        </w:rPr>
        <w:t xml:space="preserve">La zona de navegación que bordea la Gran Barrera de Coral se está </w:t>
      </w:r>
      <w:r w:rsidRPr="00201277">
        <w:rPr>
          <w:rFonts w:ascii="Arial" w:hAnsi="Arial" w:cs="Arial"/>
          <w:i/>
          <w:sz w:val="22"/>
          <w:szCs w:val="22"/>
        </w:rPr>
        <w:lastRenderedPageBreak/>
        <w:t>convirtiendo en una autopista de combustibles… este incidente se teme que sea una señal de lo que puede ocurrir en el futuro</w:t>
      </w:r>
      <w:r w:rsidRPr="00201277">
        <w:rPr>
          <w:rStyle w:val="Refdenotaalpie"/>
          <w:rFonts w:ascii="Arial" w:hAnsi="Arial" w:cs="Arial"/>
          <w:i/>
          <w:sz w:val="22"/>
          <w:szCs w:val="22"/>
        </w:rPr>
        <w:footnoteReference w:id="74"/>
      </w:r>
      <w:r w:rsidRPr="00201277">
        <w:rPr>
          <w:rFonts w:ascii="Arial" w:hAnsi="Arial" w:cs="Arial"/>
          <w:i/>
          <w:sz w:val="22"/>
          <w:szCs w:val="22"/>
        </w:rPr>
        <w:t>.</w:t>
      </w:r>
    </w:p>
    <w:p w:rsidR="00197AA0" w:rsidRPr="00201277" w:rsidRDefault="00197AA0" w:rsidP="00232C32">
      <w:pPr>
        <w:spacing w:line="360" w:lineRule="auto"/>
        <w:ind w:right="44" w:firstLine="567"/>
        <w:jc w:val="both"/>
        <w:rPr>
          <w:rFonts w:ascii="Arial" w:hAnsi="Arial" w:cs="Arial"/>
          <w:i/>
          <w:sz w:val="22"/>
          <w:szCs w:val="22"/>
          <w:lang w:eastAsia="en-US"/>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86" type="#_x0000_t202" style="position:absolute;left:0;text-align:left;margin-left:218.7pt;margin-top:123.3pt;width:31.8pt;height:21pt;z-index:251713536;mso-height-percent:200;mso-height-percent:200;mso-width-relative:margin;mso-height-relative:margin" fillcolor="white [3212]" stroked="f">
            <v:textbox style="mso-next-textbox:#_x0000_s1086;mso-fit-shape-to-text:t">
              <w:txbxContent>
                <w:p w:rsidR="00AC7D7B" w:rsidRDefault="00AC7D7B" w:rsidP="006F39C3">
                  <w:r>
                    <w:t>39</w:t>
                  </w:r>
                </w:p>
              </w:txbxContent>
            </v:textbox>
          </v:shape>
        </w:pict>
      </w:r>
      <w:r w:rsidR="00197AA0" w:rsidRPr="00201277">
        <w:rPr>
          <w:rFonts w:ascii="Arial" w:hAnsi="Arial" w:cs="Arial"/>
          <w:sz w:val="22"/>
          <w:szCs w:val="22"/>
        </w:rPr>
        <w:t>De acuerdo a lo anteriormente planteado es de hacer notar lo reciente que ha sido el caso del Shen Neng 1, y de igual forma los estragos que ha causado en la Gran Barrera de Coral, afectando la vida marina del arrecife de coral. Despertando de esta manera el interés de la comunidad internacional debido a tal tragedia.</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El accidente ocurrido en la Gran Barrera de Coral toma su importancia en el hecho, de que es uno de los sistemas de arrecifes más grandes del mundo, extendiéndose por más de dos mil kilómetros en las aguas marítimas de Australia, siendo una zona protegida. Cabe mencionar que la riqueza de la vida marina de la zona ha sido afectada por el derrame de casi dos toneladas de petróleo. Los efectos de tal catástrofe marítima permanecerán por varios años, algunos expertos calculan que tardará más de veinte años en recuperarse.</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Por otro lado, se resalta el hecho de que la desgracia ha ocurrido con mucha actualidad, ya que ha sido un caso más de contaminación por hidrocarburos en los espacios marítimos causados por buques. Mostrando de esta forma la poca importancia que las empresas navieras le dan a la preservación del medio marítimo, puesto que tanto la navegación y la contaminación por hidrocarburos ha ocurrido a lo largo del tiempo como fenómenos recurrentes, a lo lago de la historia. Al mismo tiempo cabe señalar que fenómenos como este han ocurrido con anterioridad en la zona de la Gran Barrera de Coral.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El 24 de enero de 2006, el buque coreano Global Peace derramó 25 toneladas de crudo en las aguas del puerto de Gladstone, en la costa este de Australia</w:t>
      </w:r>
      <w:r w:rsidRPr="00201277">
        <w:rPr>
          <w:rStyle w:val="Refdenotaalpie"/>
          <w:rFonts w:ascii="Arial" w:hAnsi="Arial" w:cs="Arial"/>
          <w:sz w:val="22"/>
          <w:szCs w:val="22"/>
        </w:rPr>
        <w:footnoteReference w:id="75"/>
      </w:r>
      <w:r w:rsidRPr="00201277">
        <w:rPr>
          <w:rFonts w:ascii="Arial" w:hAnsi="Arial" w:cs="Arial"/>
          <w:sz w:val="22"/>
          <w:szCs w:val="22"/>
        </w:rPr>
        <w:t xml:space="preserve">. El 15 de marzo de 2009, el Buque Pacific Adventure perdió en la bahía de Moreton, Queensland, Australia, 31 de los 60 contenedores de nitrato de amonio que trasportaba, capaces de </w:t>
      </w:r>
      <w:r w:rsidRPr="00201277">
        <w:rPr>
          <w:rFonts w:ascii="Arial" w:hAnsi="Arial" w:cs="Arial"/>
          <w:sz w:val="22"/>
          <w:szCs w:val="22"/>
        </w:rPr>
        <w:lastRenderedPageBreak/>
        <w:t>exterminar la gran variedad de aves marinas, tortugas, delfines y pelícanos de la Gran Barrera de Coral</w:t>
      </w:r>
      <w:r w:rsidRPr="00201277">
        <w:rPr>
          <w:rStyle w:val="Refdenotaalpie"/>
          <w:rFonts w:ascii="Arial" w:hAnsi="Arial" w:cs="Arial"/>
          <w:sz w:val="22"/>
          <w:szCs w:val="22"/>
        </w:rPr>
        <w:footnoteReference w:id="76"/>
      </w:r>
      <w:r w:rsidRPr="00201277">
        <w:rPr>
          <w:rFonts w:ascii="Arial" w:hAnsi="Arial" w:cs="Arial"/>
          <w:sz w:val="22"/>
          <w:szCs w:val="22"/>
        </w:rPr>
        <w:t xml:space="preserve">.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087" type="#_x0000_t202" style="position:absolute;left:0;text-align:left;margin-left:193.1pt;margin-top:151.55pt;width:31.8pt;height:21pt;z-index:251714560;mso-height-percent:200;mso-height-percent:200;mso-width-relative:margin;mso-height-relative:margin" fillcolor="white [3212]" stroked="f">
            <v:textbox style="mso-next-textbox:#_x0000_s1087;mso-fit-shape-to-text:t">
              <w:txbxContent>
                <w:p w:rsidR="00AC7D7B" w:rsidRDefault="00AC7D7B" w:rsidP="006F39C3">
                  <w:r>
                    <w:t>40</w:t>
                  </w:r>
                </w:p>
              </w:txbxContent>
            </v:textbox>
          </v:shape>
        </w:pict>
      </w:r>
      <w:r w:rsidR="00197AA0" w:rsidRPr="00201277">
        <w:rPr>
          <w:rFonts w:ascii="Arial" w:hAnsi="Arial" w:cs="Arial"/>
          <w:sz w:val="22"/>
          <w:szCs w:val="22"/>
        </w:rPr>
        <w:t>Teniendo a la base este tipo de precedentes, y siendo más específicos; la Gran Barrera de Coral alberga cuatrocientas especies de corales, su extensión es casi del tamaño de Alemania, siendo el hogar de 5,000 especies de moluscos, 1,500 especies de peces, 215 especies de aves, 30 especies de ballenas, delfines y marsopas, 14 especies de serpientes de mar, 6 especies de cría de tortugas marinas. De ahí que los arrecifes son vitales para la supervivencia de diversas especies en peligro y, tal es así que en 2004 la Great Barrier Reef Marine Park</w:t>
      </w:r>
      <w:r w:rsidR="00197AA0" w:rsidRPr="00201277">
        <w:rPr>
          <w:rStyle w:val="Refdenotaalpie"/>
          <w:rFonts w:ascii="Arial" w:hAnsi="Arial" w:cs="Arial"/>
          <w:sz w:val="22"/>
          <w:szCs w:val="22"/>
        </w:rPr>
        <w:footnoteReference w:customMarkFollows="1" w:id="77"/>
        <w:sym w:font="Symbol" w:char="F02A"/>
      </w:r>
      <w:r w:rsidR="00197AA0" w:rsidRPr="00201277">
        <w:rPr>
          <w:rFonts w:ascii="Arial" w:hAnsi="Arial" w:cs="Arial"/>
          <w:sz w:val="22"/>
          <w:szCs w:val="22"/>
        </w:rPr>
        <w:t xml:space="preserve"> (GBRMPA, por sus siglas en ingles) incrementó la cantidad de zonas altamente protegidas en casi un 30%</w:t>
      </w:r>
      <w:r w:rsidR="00197AA0" w:rsidRPr="00201277">
        <w:rPr>
          <w:rStyle w:val="Refdenotaalpie"/>
          <w:rFonts w:ascii="Arial" w:hAnsi="Arial" w:cs="Arial"/>
          <w:sz w:val="22"/>
          <w:szCs w:val="22"/>
        </w:rPr>
        <w:footnoteReference w:id="78"/>
      </w:r>
      <w:r w:rsidR="00197AA0"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En atención a lo anteriormente mencionado, la importancia de la preservación de la vida marina en esta zona es de gran magnitud. Empero, la contaminación por hidrocarburos se ha hecho presente en tres ocasiones en menos de diez años, lo cual deja entrever el poco control e importancia que se les ha dado a los convenios, protocolos y demás normativa relativa a la contaminación por hidrocarburos. Al respecto cabe resaltar que no se respetó los convenios SOLAS 74/78, MARPOL 73/78, los Protocolos de 2005 del Convenio SUA sobre represión de actos ilícitos contra la seguridad de la navegación marítima, el Protocolo de 2010 del Convenio SNP sobre responsabilidad e indemnización de daños en relación con el transporte de sustancias peligrosas y nocivas por mar; dejando entrever el poco apego a la legislación marítima internacional. Por otro lado la sanción impuesta por la legislación australiana, que asciende a un millón de dólares locales (920,000 dólares estadounidenses) y 220,000 dólares locales (unos 200,000 dólares estadounidenses) al capitán del barco.</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bCs/>
          <w:iCs/>
          <w:sz w:val="22"/>
          <w:szCs w:val="22"/>
        </w:rPr>
      </w:pPr>
      <w:r w:rsidRPr="001D7573">
        <w:rPr>
          <w:rFonts w:ascii="Arial" w:hAnsi="Arial" w:cs="Arial"/>
          <w:noProof/>
          <w:sz w:val="22"/>
          <w:szCs w:val="22"/>
        </w:rPr>
        <w:pict>
          <v:shape id="_x0000_s1088" type="#_x0000_t202" style="position:absolute;left:0;text-align:left;margin-left:207.75pt;margin-top:312.95pt;width:31.8pt;height:21pt;z-index:251715584;mso-height-percent:200;mso-height-percent:200;mso-width-relative:margin;mso-height-relative:margin" fillcolor="white [3212]" stroked="f">
            <v:textbox style="mso-next-textbox:#_x0000_s1088;mso-fit-shape-to-text:t">
              <w:txbxContent>
                <w:p w:rsidR="00AC7D7B" w:rsidRDefault="00AC7D7B" w:rsidP="006F39C3">
                  <w:r>
                    <w:t>41</w:t>
                  </w:r>
                </w:p>
              </w:txbxContent>
            </v:textbox>
          </v:shape>
        </w:pict>
      </w:r>
      <w:r w:rsidR="00197AA0" w:rsidRPr="00201277">
        <w:rPr>
          <w:rFonts w:ascii="Arial" w:hAnsi="Arial" w:cs="Arial"/>
          <w:sz w:val="22"/>
          <w:szCs w:val="22"/>
        </w:rPr>
        <w:t xml:space="preserve"> Representa en alguna medida la figura de la responsabilidad, en el Fondo de Indemnización de daños ocasionados por Hidrocarburos (FIDAC), sin embargo dicha </w:t>
      </w:r>
      <w:r w:rsidR="00197AA0" w:rsidRPr="00201277">
        <w:rPr>
          <w:rFonts w:ascii="Arial" w:hAnsi="Arial" w:cs="Arial"/>
          <w:sz w:val="22"/>
          <w:szCs w:val="22"/>
        </w:rPr>
        <w:lastRenderedPageBreak/>
        <w:t>figura de responsabilidad es una figura amplia que ha sido desarrollada teóricamente por una diversidad de autores, como lo es Manuel Becerra Ramírez</w:t>
      </w:r>
      <w:r w:rsidR="00197AA0" w:rsidRPr="00201277">
        <w:rPr>
          <w:rStyle w:val="Refdenotaalpie"/>
          <w:rFonts w:ascii="Arial" w:hAnsi="Arial" w:cs="Arial"/>
          <w:sz w:val="22"/>
          <w:szCs w:val="22"/>
        </w:rPr>
        <w:footnoteReference w:customMarkFollows="1" w:id="79"/>
        <w:sym w:font="Symbol" w:char="F02A"/>
      </w:r>
      <w:r w:rsidR="00197AA0" w:rsidRPr="00201277">
        <w:rPr>
          <w:rFonts w:ascii="Arial" w:hAnsi="Arial" w:cs="Arial"/>
          <w:sz w:val="22"/>
          <w:szCs w:val="22"/>
        </w:rPr>
        <w:t xml:space="preserve">, quien la ha clasificado en clases o tipos de responsabilidad internacional dado que se puede encontrar tantas como puntos de referencia que se adopten para clasificarlas, de ahí que: </w:t>
      </w:r>
      <w:r w:rsidR="00197AA0" w:rsidRPr="00201277">
        <w:rPr>
          <w:rFonts w:ascii="Arial" w:hAnsi="Arial" w:cs="Arial"/>
          <w:i/>
          <w:sz w:val="22"/>
          <w:szCs w:val="22"/>
        </w:rPr>
        <w:t>se puede ver en el tratamiento doctrinal responsabilidades diferenciadas por el propio sujeto responsable; por el sujeto ante el cual se es responsable; por la fuente que la genera; o atendiendo al grado de importancia de la obligación violada, entre otras. De estas clasificaciones mencionadas, sin lugar a dudas las de mayor importancia son aquellas que se refieren al sujeto responsable, a la fuente que la genera y a la importancia de la obligación violada, al punto de que prácticamente la totalidad de los autores que tratan esta temática hacen referencia a ellas, ya sea de una u otra forma. Y es que en estas puntuales clases de responsabilidades encontraremos volcadas tan modernas cuestiones como la de la ampliación del número de sujetos del derecho internacional público o la de la polémica tendencia a la objetivización de la responsabilidad; asuntos estos que aún son de profundo debate doctrinal</w:t>
      </w:r>
      <w:r w:rsidR="00197AA0" w:rsidRPr="00201277">
        <w:rPr>
          <w:rStyle w:val="Refdenotaalpie"/>
          <w:rFonts w:ascii="Arial" w:hAnsi="Arial" w:cs="Arial"/>
          <w:i/>
          <w:sz w:val="22"/>
          <w:szCs w:val="22"/>
        </w:rPr>
        <w:footnoteReference w:id="80"/>
      </w:r>
      <w:r w:rsidR="00197AA0" w:rsidRPr="00201277">
        <w:rPr>
          <w:rFonts w:ascii="Arial" w:hAnsi="Arial" w:cs="Arial"/>
          <w:i/>
          <w:sz w:val="22"/>
          <w:szCs w:val="22"/>
        </w:rPr>
        <w:t>,</w:t>
      </w:r>
      <w:r w:rsidR="00197AA0" w:rsidRPr="00201277">
        <w:rPr>
          <w:rFonts w:ascii="Arial" w:hAnsi="Arial" w:cs="Arial"/>
          <w:sz w:val="22"/>
          <w:szCs w:val="22"/>
        </w:rPr>
        <w:t xml:space="preserve"> dicho autor hace una clasificación, en primer lugar está la </w:t>
      </w:r>
      <w:r w:rsidR="00197AA0" w:rsidRPr="00201277">
        <w:rPr>
          <w:rFonts w:ascii="Arial" w:hAnsi="Arial" w:cs="Arial"/>
          <w:bCs/>
          <w:iCs/>
          <w:sz w:val="22"/>
          <w:szCs w:val="22"/>
        </w:rPr>
        <w:t xml:space="preserve">Responsabilidad Internacional </w:t>
      </w:r>
      <w:r w:rsidR="00197AA0" w:rsidRPr="003523A4">
        <w:rPr>
          <w:rFonts w:ascii="Arial" w:hAnsi="Arial" w:cs="Arial"/>
          <w:bCs/>
          <w:iCs/>
          <w:sz w:val="22"/>
          <w:szCs w:val="22"/>
        </w:rPr>
        <w:t xml:space="preserve">por Hechos Ilícitos y Responsabilidad Internacional por Hechos No Prohibidos por el Derecho Internacional, en segundo lugar </w:t>
      </w:r>
      <w:r w:rsidR="00197AA0" w:rsidRPr="003523A4">
        <w:rPr>
          <w:rFonts w:ascii="Arial" w:hAnsi="Arial" w:cs="Arial"/>
          <w:sz w:val="22"/>
          <w:szCs w:val="22"/>
        </w:rPr>
        <w:t xml:space="preserve">la </w:t>
      </w:r>
      <w:r w:rsidR="00197AA0" w:rsidRPr="003523A4">
        <w:rPr>
          <w:rFonts w:ascii="Arial" w:hAnsi="Arial" w:cs="Arial"/>
          <w:bCs/>
          <w:iCs/>
          <w:sz w:val="22"/>
          <w:szCs w:val="22"/>
        </w:rPr>
        <w:t xml:space="preserve">Responsabilidad del Estado; Responsabilidad del </w:t>
      </w:r>
      <w:hyperlink r:id="rId67" w:history="1">
        <w:r w:rsidR="00197AA0" w:rsidRPr="003523A4">
          <w:rPr>
            <w:rStyle w:val="Hipervnculo"/>
            <w:rFonts w:ascii="Arial" w:hAnsi="Arial" w:cs="Arial"/>
            <w:bCs/>
            <w:iCs/>
            <w:color w:val="auto"/>
            <w:sz w:val="22"/>
            <w:szCs w:val="22"/>
            <w:u w:val="none"/>
          </w:rPr>
          <w:t>Individuo</w:t>
        </w:r>
      </w:hyperlink>
      <w:r w:rsidR="00197AA0" w:rsidRPr="003523A4">
        <w:rPr>
          <w:rFonts w:ascii="Arial" w:hAnsi="Arial" w:cs="Arial"/>
          <w:bCs/>
          <w:iCs/>
          <w:sz w:val="22"/>
          <w:szCs w:val="22"/>
        </w:rPr>
        <w:t xml:space="preserve"> y Responsabilidad de las Organizaciones Internacionales y en último lugar el</w:t>
      </w:r>
      <w:r w:rsidR="00197AA0" w:rsidRPr="003523A4">
        <w:rPr>
          <w:rFonts w:ascii="Arial" w:hAnsi="Arial" w:cs="Arial"/>
          <w:sz w:val="22"/>
          <w:szCs w:val="22"/>
        </w:rPr>
        <w:t xml:space="preserve"> </w:t>
      </w:r>
      <w:r w:rsidR="00197AA0" w:rsidRPr="003523A4">
        <w:rPr>
          <w:rFonts w:ascii="Arial" w:hAnsi="Arial" w:cs="Arial"/>
          <w:bCs/>
          <w:iCs/>
          <w:sz w:val="22"/>
          <w:szCs w:val="22"/>
        </w:rPr>
        <w:t>Hecho Ilícito Internacional</w:t>
      </w:r>
      <w:r w:rsidR="00197AA0" w:rsidRPr="00201277">
        <w:rPr>
          <w:rFonts w:ascii="Arial" w:hAnsi="Arial" w:cs="Arial"/>
          <w:bCs/>
          <w:iCs/>
          <w:sz w:val="22"/>
          <w:szCs w:val="22"/>
        </w:rPr>
        <w:t xml:space="preserve"> y Crimen Internacional</w:t>
      </w:r>
      <w:r w:rsidR="00197AA0" w:rsidRPr="00201277">
        <w:rPr>
          <w:rStyle w:val="Refdenotaalpie"/>
          <w:rFonts w:ascii="Arial" w:hAnsi="Arial" w:cs="Arial"/>
          <w:bCs/>
          <w:iCs/>
          <w:sz w:val="22"/>
          <w:szCs w:val="22"/>
        </w:rPr>
        <w:footnoteReference w:id="81"/>
      </w:r>
      <w:r w:rsidR="00197AA0" w:rsidRPr="00201277">
        <w:rPr>
          <w:rFonts w:ascii="Arial" w:hAnsi="Arial" w:cs="Arial"/>
          <w:bCs/>
          <w:iCs/>
          <w:sz w:val="22"/>
          <w:szCs w:val="22"/>
        </w:rPr>
        <w:t xml:space="preserve">. </w:t>
      </w:r>
    </w:p>
    <w:p w:rsidR="00197AA0" w:rsidRPr="00201277" w:rsidRDefault="00197AA0" w:rsidP="00232C32">
      <w:pPr>
        <w:spacing w:line="360" w:lineRule="auto"/>
        <w:ind w:right="44" w:firstLine="567"/>
        <w:jc w:val="both"/>
        <w:rPr>
          <w:rFonts w:ascii="Arial" w:hAnsi="Arial" w:cs="Arial"/>
          <w:bCs/>
          <w:iCs/>
          <w:sz w:val="22"/>
          <w:szCs w:val="22"/>
        </w:rPr>
      </w:pPr>
    </w:p>
    <w:p w:rsidR="00197AA0" w:rsidRDefault="00197AA0" w:rsidP="00232C32">
      <w:pPr>
        <w:spacing w:line="360" w:lineRule="auto"/>
        <w:ind w:right="44" w:firstLine="567"/>
        <w:jc w:val="both"/>
        <w:rPr>
          <w:rFonts w:ascii="Arial" w:hAnsi="Arial" w:cs="Arial"/>
          <w:bCs/>
          <w:iCs/>
          <w:sz w:val="22"/>
          <w:szCs w:val="22"/>
        </w:rPr>
      </w:pPr>
      <w:r w:rsidRPr="00201277">
        <w:rPr>
          <w:rFonts w:ascii="Arial" w:hAnsi="Arial" w:cs="Arial"/>
          <w:bCs/>
          <w:iCs/>
          <w:sz w:val="22"/>
          <w:szCs w:val="22"/>
        </w:rPr>
        <w:t xml:space="preserve">Para el caso del buque Shen Neng 1, la segunda clasificación relacionada con la responsabilidad del individuo es la que se ajusta. Dado que tanto el Estado de Australia apeló a una pronta indemnización por los daños causados a raíz de la tragedia marítima, con lo cual se responsabilizó tanto a la compañía Shenzhen Energía, como al capitán del buque, condenándolos a una sanción monetaria. Sin embargo los daños causados en la zona de la Gran Barrera de Coral y a toda la biodiversidad marina que habita en esa región son irreversibles e irreparables, son en tanto mitigadas por tareas de limpieza. </w:t>
      </w:r>
    </w:p>
    <w:p w:rsidR="00197AA0" w:rsidRPr="00201277" w:rsidRDefault="00197AA0" w:rsidP="00232C32">
      <w:pPr>
        <w:spacing w:line="360" w:lineRule="auto"/>
        <w:ind w:right="44" w:firstLine="567"/>
        <w:jc w:val="both"/>
        <w:rPr>
          <w:rFonts w:ascii="Arial" w:hAnsi="Arial" w:cs="Arial"/>
          <w:bCs/>
          <w:iCs/>
          <w:sz w:val="22"/>
          <w:szCs w:val="22"/>
        </w:rPr>
      </w:pPr>
    </w:p>
    <w:p w:rsidR="00197AA0" w:rsidRDefault="001D7573" w:rsidP="00232C32">
      <w:pPr>
        <w:spacing w:line="360" w:lineRule="auto"/>
        <w:ind w:right="44" w:firstLine="567"/>
        <w:jc w:val="both"/>
        <w:rPr>
          <w:rFonts w:ascii="Arial" w:hAnsi="Arial" w:cs="Arial"/>
          <w:bCs/>
          <w:i/>
          <w:iCs/>
          <w:sz w:val="22"/>
          <w:szCs w:val="22"/>
        </w:rPr>
      </w:pPr>
      <w:r w:rsidRPr="001D7573">
        <w:rPr>
          <w:rFonts w:ascii="Arial" w:hAnsi="Arial" w:cs="Arial"/>
          <w:bCs/>
          <w:iCs/>
          <w:noProof/>
          <w:sz w:val="22"/>
          <w:szCs w:val="22"/>
        </w:rPr>
        <w:pict>
          <v:shape id="_x0000_s1089" type="#_x0000_t202" style="position:absolute;left:0;text-align:left;margin-left:190.7pt;margin-top:261.7pt;width:31.8pt;height:21pt;z-index:251716608;mso-height-percent:200;mso-height-percent:200;mso-width-relative:margin;mso-height-relative:margin" fillcolor="white [3212]" stroked="f">
            <v:textbox style="mso-next-textbox:#_x0000_s1089;mso-fit-shape-to-text:t">
              <w:txbxContent>
                <w:p w:rsidR="00AC7D7B" w:rsidRDefault="00AC7D7B" w:rsidP="006F39C3">
                  <w:r>
                    <w:t>42</w:t>
                  </w:r>
                </w:p>
              </w:txbxContent>
            </v:textbox>
          </v:shape>
        </w:pict>
      </w:r>
      <w:r w:rsidR="00197AA0" w:rsidRPr="00201277">
        <w:rPr>
          <w:rFonts w:ascii="Arial" w:hAnsi="Arial" w:cs="Arial"/>
          <w:bCs/>
          <w:iCs/>
          <w:sz w:val="22"/>
          <w:szCs w:val="22"/>
        </w:rPr>
        <w:t xml:space="preserve">Se ha realizado en alguna medida el desarrollo de programas encaminados a la preservación de la vida marina, tal es el caso de el Programa de Lucha contra la </w:t>
      </w:r>
      <w:r w:rsidR="00197AA0" w:rsidRPr="00201277">
        <w:rPr>
          <w:rFonts w:ascii="Arial" w:hAnsi="Arial" w:cs="Arial"/>
          <w:bCs/>
          <w:iCs/>
          <w:sz w:val="22"/>
          <w:szCs w:val="22"/>
        </w:rPr>
        <w:lastRenderedPageBreak/>
        <w:t>Contaminación Marina por Hidrocarburos, elaborado por World Wildlife Fund for Nature/Adena</w:t>
      </w:r>
      <w:r w:rsidR="00197AA0" w:rsidRPr="00201277">
        <w:rPr>
          <w:rStyle w:val="Refdenotaalpie"/>
          <w:rFonts w:ascii="Arial" w:hAnsi="Arial" w:cs="Arial"/>
          <w:bCs/>
          <w:iCs/>
          <w:sz w:val="22"/>
          <w:szCs w:val="22"/>
        </w:rPr>
        <w:footnoteReference w:customMarkFollows="1" w:id="82"/>
        <w:sym w:font="Symbol" w:char="F02A"/>
      </w:r>
      <w:r w:rsidR="00197AA0" w:rsidRPr="00201277">
        <w:rPr>
          <w:rFonts w:ascii="Arial" w:hAnsi="Arial" w:cs="Arial"/>
          <w:bCs/>
          <w:iCs/>
          <w:sz w:val="22"/>
          <w:szCs w:val="22"/>
        </w:rPr>
        <w:t xml:space="preserve"> en 2009, en el cual hace una severa crítica a los esfuerzos que se llevan a cabo para contrarrestar la contaminación en los espacios marítimos: </w:t>
      </w:r>
      <w:r w:rsidR="00197AA0" w:rsidRPr="00201277">
        <w:rPr>
          <w:rFonts w:ascii="Arial" w:hAnsi="Arial" w:cs="Arial"/>
          <w:bCs/>
          <w:i/>
          <w:iCs/>
          <w:sz w:val="22"/>
          <w:szCs w:val="22"/>
        </w:rPr>
        <w:t>Los esfuerzos de muchos países para abordar los derrames de crudo se producen sólo cuando éstos se ven afectados por un vertido de magnitud. Y son, excepto en ocasiones muy puntuales, reacciones improvisadas, tardías y dotadas de importantes deficiencias de coordinación y de soportes logísticos apropiados. WWF/Adena asume, ante esta clase de situaciones, que el esfuerzo no debe centrarse sólo en la búsqueda de responsables de un accidente en particular, ya que es el contexto global de este tipo de transporte el que configura el elevado índice de riesgo (a nivel mundial, se contabiliza una media de dos accidentes mensuales de derrames de petróleo, siendo variables los volúmenes de crudo vertido)...</w:t>
      </w:r>
      <w:r w:rsidR="00197AA0" w:rsidRPr="00201277">
        <w:rPr>
          <w:rFonts w:ascii="Arial" w:hAnsi="Arial" w:cs="Arial"/>
          <w:sz w:val="22"/>
          <w:szCs w:val="22"/>
        </w:rPr>
        <w:t xml:space="preserve"> </w:t>
      </w:r>
      <w:r w:rsidR="00197AA0" w:rsidRPr="00201277">
        <w:rPr>
          <w:rFonts w:ascii="Arial" w:hAnsi="Arial" w:cs="Arial"/>
          <w:bCs/>
          <w:i/>
          <w:iCs/>
          <w:sz w:val="22"/>
          <w:szCs w:val="22"/>
        </w:rPr>
        <w:t>Más de 6,000 buques surcan actualmente los océanos, muchos de ellos en pésimas condiciones de navegación, y transportando mercancías altamente tóxicas por el mar</w:t>
      </w:r>
      <w:r w:rsidR="00197AA0" w:rsidRPr="00201277">
        <w:rPr>
          <w:rStyle w:val="Refdenotaalpie"/>
          <w:rFonts w:ascii="Arial" w:hAnsi="Arial" w:cs="Arial"/>
          <w:bCs/>
          <w:i/>
          <w:iCs/>
          <w:sz w:val="22"/>
          <w:szCs w:val="22"/>
        </w:rPr>
        <w:footnoteReference w:id="83"/>
      </w:r>
      <w:r w:rsidR="00197AA0" w:rsidRPr="00201277">
        <w:rPr>
          <w:rFonts w:ascii="Arial" w:hAnsi="Arial" w:cs="Arial"/>
          <w:bCs/>
          <w:i/>
          <w:iCs/>
          <w:sz w:val="22"/>
          <w:szCs w:val="22"/>
        </w:rPr>
        <w:t>.</w:t>
      </w:r>
    </w:p>
    <w:p w:rsidR="00197AA0" w:rsidRPr="00201277" w:rsidRDefault="00197AA0" w:rsidP="00232C32">
      <w:pPr>
        <w:spacing w:line="360" w:lineRule="auto"/>
        <w:ind w:right="44" w:firstLine="567"/>
        <w:jc w:val="both"/>
        <w:rPr>
          <w:rFonts w:ascii="Arial" w:hAnsi="Arial" w:cs="Arial"/>
          <w:bCs/>
          <w:iCs/>
          <w:sz w:val="22"/>
          <w:szCs w:val="22"/>
        </w:rPr>
      </w:pPr>
    </w:p>
    <w:p w:rsidR="00197AA0" w:rsidRPr="00201277" w:rsidRDefault="00197AA0" w:rsidP="00232C32">
      <w:pPr>
        <w:spacing w:line="360" w:lineRule="auto"/>
        <w:ind w:right="44" w:firstLine="567"/>
        <w:jc w:val="both"/>
        <w:rPr>
          <w:rFonts w:ascii="Arial" w:hAnsi="Arial" w:cs="Arial"/>
          <w:bCs/>
          <w:i/>
          <w:iCs/>
          <w:sz w:val="22"/>
          <w:szCs w:val="22"/>
        </w:rPr>
      </w:pPr>
      <w:r w:rsidRPr="00201277">
        <w:rPr>
          <w:rFonts w:ascii="Arial" w:hAnsi="Arial" w:cs="Arial"/>
          <w:bCs/>
          <w:iCs/>
          <w:sz w:val="22"/>
          <w:szCs w:val="22"/>
        </w:rPr>
        <w:t>De los anteriores planteamientos se deduce, que la contaminación en los espacios marítimos no ha sido un fenómeno aislado, la contaminación por hidrocarburos ha sido recurrente a lo largo de las décadas; tal es el caso de la Gran Barrera de Coral, que en un espacio menor a diez años</w:t>
      </w:r>
      <w:r w:rsidRPr="00201277">
        <w:rPr>
          <w:rStyle w:val="Refdenotaalpie"/>
          <w:rFonts w:ascii="Arial" w:hAnsi="Arial" w:cs="Arial"/>
          <w:bCs/>
          <w:iCs/>
          <w:sz w:val="22"/>
          <w:szCs w:val="22"/>
        </w:rPr>
        <w:footnoteReference w:customMarkFollows="1" w:id="84"/>
        <w:sym w:font="Symbol" w:char="F02A"/>
      </w:r>
      <w:r w:rsidRPr="00201277">
        <w:rPr>
          <w:rStyle w:val="Refdenotaalpie"/>
          <w:rFonts w:ascii="Arial" w:hAnsi="Arial" w:cs="Arial"/>
          <w:bCs/>
          <w:iCs/>
          <w:sz w:val="22"/>
          <w:szCs w:val="22"/>
        </w:rPr>
        <w:sym w:font="Symbol" w:char="F02A"/>
      </w:r>
      <w:r w:rsidRPr="00201277">
        <w:rPr>
          <w:rFonts w:ascii="Arial" w:hAnsi="Arial" w:cs="Arial"/>
          <w:bCs/>
          <w:iCs/>
          <w:sz w:val="22"/>
          <w:szCs w:val="22"/>
        </w:rPr>
        <w:t xml:space="preserve"> ha sido víctima de contaminación por hidrocarburos. Empero las formas de contaminación de los espacios marítimos ha tenido variantes en la medida que cambia los mecanismos de transportación de hidrocarburos: </w:t>
      </w:r>
      <w:r w:rsidRPr="00201277">
        <w:rPr>
          <w:rFonts w:ascii="Arial" w:hAnsi="Arial" w:cs="Arial"/>
          <w:bCs/>
          <w:i/>
          <w:iCs/>
          <w:sz w:val="22"/>
          <w:szCs w:val="22"/>
        </w:rPr>
        <w:t>nos encontramos, de otra parte, ante un mercado, el del transporte de petróleo, en el que se ha manifestado con especial fuerza la desregulación de la economía y se ha acentuado una elevada competencia en la que se buscan precios cada vez más bajos, que obligan a su vez, a valerse de buques cada vez más viejos que resultan ser los más baratos</w:t>
      </w:r>
      <w:r w:rsidRPr="00201277">
        <w:rPr>
          <w:rStyle w:val="Refdenotaalpie"/>
          <w:rFonts w:ascii="Arial" w:hAnsi="Arial" w:cs="Arial"/>
          <w:bCs/>
          <w:i/>
          <w:iCs/>
          <w:sz w:val="22"/>
          <w:szCs w:val="22"/>
        </w:rPr>
        <w:footnoteReference w:id="85"/>
      </w:r>
      <w:r w:rsidRPr="00201277">
        <w:rPr>
          <w:rFonts w:ascii="Arial" w:hAnsi="Arial" w:cs="Arial"/>
          <w:bCs/>
          <w:i/>
          <w:iCs/>
          <w:sz w:val="22"/>
          <w:szCs w:val="22"/>
        </w:rPr>
        <w:t>.</w:t>
      </w:r>
    </w:p>
    <w:p w:rsidR="00197AA0" w:rsidRDefault="001D7573" w:rsidP="00232C32">
      <w:pPr>
        <w:spacing w:line="360" w:lineRule="auto"/>
        <w:ind w:right="44" w:firstLine="567"/>
        <w:jc w:val="both"/>
        <w:rPr>
          <w:rFonts w:ascii="Arial" w:hAnsi="Arial" w:cs="Arial"/>
          <w:bCs/>
          <w:iCs/>
          <w:sz w:val="22"/>
          <w:szCs w:val="22"/>
        </w:rPr>
      </w:pPr>
      <w:r>
        <w:rPr>
          <w:rFonts w:ascii="Arial" w:hAnsi="Arial" w:cs="Arial"/>
          <w:bCs/>
          <w:iCs/>
          <w:noProof/>
          <w:sz w:val="22"/>
          <w:szCs w:val="22"/>
        </w:rPr>
        <w:lastRenderedPageBreak/>
        <w:pict>
          <v:shape id="_x0000_s1090" type="#_x0000_t202" style="position:absolute;left:0;text-align:left;margin-left:230.95pt;margin-top:306.8pt;width:31.8pt;height:21pt;z-index:251717632;mso-height-percent:200;mso-height-percent:200;mso-width-relative:margin;mso-height-relative:margin" fillcolor="white [3212]" stroked="f">
            <v:textbox style="mso-next-textbox:#_x0000_s1090;mso-fit-shape-to-text:t">
              <w:txbxContent>
                <w:p w:rsidR="00AC7D7B" w:rsidRDefault="00AC7D7B" w:rsidP="006F39C3">
                  <w:r>
                    <w:t>43</w:t>
                  </w:r>
                </w:p>
              </w:txbxContent>
            </v:textbox>
          </v:shape>
        </w:pict>
      </w:r>
      <w:r w:rsidR="00197AA0" w:rsidRPr="00201277">
        <w:rPr>
          <w:rFonts w:ascii="Arial" w:hAnsi="Arial" w:cs="Arial"/>
          <w:bCs/>
          <w:iCs/>
          <w:sz w:val="22"/>
          <w:szCs w:val="22"/>
        </w:rPr>
        <w:t>De acuerdo con los razonamientos que se han venido realizando, resulta importante señalar que ante esta situación Manuel Olivencia Ruiz</w:t>
      </w:r>
      <w:r w:rsidR="00197AA0" w:rsidRPr="00201277">
        <w:rPr>
          <w:rStyle w:val="Refdenotaalpie"/>
          <w:rFonts w:ascii="Arial" w:hAnsi="Arial" w:cs="Arial"/>
          <w:bCs/>
          <w:iCs/>
          <w:sz w:val="22"/>
          <w:szCs w:val="22"/>
        </w:rPr>
        <w:footnoteReference w:customMarkFollows="1" w:id="86"/>
        <w:sym w:font="Symbol" w:char="F02A"/>
      </w:r>
      <w:r w:rsidR="00197AA0" w:rsidRPr="00201277">
        <w:rPr>
          <w:rFonts w:ascii="Arial" w:hAnsi="Arial" w:cs="Arial"/>
          <w:bCs/>
          <w:iCs/>
          <w:sz w:val="22"/>
          <w:szCs w:val="22"/>
        </w:rPr>
        <w:t xml:space="preserve"> señala: </w:t>
      </w:r>
      <w:r w:rsidR="00197AA0" w:rsidRPr="00201277">
        <w:rPr>
          <w:rFonts w:ascii="Arial" w:hAnsi="Arial" w:cs="Arial"/>
          <w:bCs/>
          <w:i/>
          <w:iCs/>
          <w:sz w:val="22"/>
          <w:szCs w:val="22"/>
        </w:rPr>
        <w:t>Estamos ante una materia novedosa, en la medida en que es fruto de los nuevos riesgos surgidos de los nuevos hechos que suponen nuevas dimensiones de los buques cada vez más grandes, así como del hecho de que su cargamento se trate de hidrocarburos, sustancias peligrosas de transporte relativamente reciente y que, a su vez, conectan con otros transportes más novedosos de nuevas sustancias peligrosas</w:t>
      </w:r>
      <w:r w:rsidR="00197AA0" w:rsidRPr="00201277">
        <w:rPr>
          <w:rStyle w:val="Refdenotaalpie"/>
          <w:rFonts w:ascii="Arial" w:hAnsi="Arial" w:cs="Arial"/>
          <w:bCs/>
          <w:i/>
          <w:iCs/>
          <w:sz w:val="22"/>
          <w:szCs w:val="22"/>
        </w:rPr>
        <w:footnoteReference w:id="87"/>
      </w:r>
      <w:r w:rsidR="00197AA0" w:rsidRPr="00201277">
        <w:rPr>
          <w:rFonts w:ascii="Arial" w:hAnsi="Arial" w:cs="Arial"/>
          <w:bCs/>
          <w:i/>
          <w:iCs/>
          <w:sz w:val="22"/>
          <w:szCs w:val="22"/>
        </w:rPr>
        <w:t>.</w:t>
      </w:r>
      <w:r w:rsidR="00197AA0" w:rsidRPr="00201277">
        <w:rPr>
          <w:rFonts w:ascii="Arial" w:hAnsi="Arial" w:cs="Arial"/>
          <w:bCs/>
          <w:iCs/>
          <w:sz w:val="22"/>
          <w:szCs w:val="22"/>
        </w:rPr>
        <w:t xml:space="preserve"> De ahí que las tragedias acaecidas en la Gran Barrera de Coral han tenido una creciente evolución, han ocasionado terribles daños en la biodiversidad marina de la zona, y sobre todo han ocurrido exactamente en el mismo espacio marítimo internacional. </w:t>
      </w:r>
    </w:p>
    <w:p w:rsidR="00197AA0" w:rsidRPr="00201277" w:rsidRDefault="00197AA0" w:rsidP="00232C32">
      <w:pPr>
        <w:spacing w:line="360" w:lineRule="auto"/>
        <w:ind w:right="44" w:firstLine="567"/>
        <w:jc w:val="both"/>
        <w:rPr>
          <w:rFonts w:ascii="Arial" w:hAnsi="Arial" w:cs="Arial"/>
          <w:bCs/>
          <w:iCs/>
          <w:sz w:val="22"/>
          <w:szCs w:val="22"/>
        </w:rPr>
      </w:pPr>
    </w:p>
    <w:p w:rsidR="00197AA0" w:rsidRDefault="00197AA0" w:rsidP="00232C32">
      <w:pPr>
        <w:spacing w:line="360" w:lineRule="auto"/>
        <w:ind w:right="44" w:firstLine="567"/>
        <w:jc w:val="both"/>
        <w:rPr>
          <w:rFonts w:ascii="Arial" w:hAnsi="Arial" w:cs="Arial"/>
          <w:bCs/>
          <w:iCs/>
          <w:sz w:val="22"/>
          <w:szCs w:val="22"/>
        </w:rPr>
      </w:pPr>
      <w:r w:rsidRPr="00201277">
        <w:rPr>
          <w:rFonts w:ascii="Arial" w:hAnsi="Arial" w:cs="Arial"/>
          <w:bCs/>
          <w:iCs/>
          <w:sz w:val="22"/>
          <w:szCs w:val="22"/>
        </w:rPr>
        <w:t>La figura de la responsabilidad por contaminación causada por los accidentes en el transporte marítimo de hidrocarburos, conocida como contaminación accidental</w:t>
      </w:r>
      <w:r w:rsidRPr="00201277">
        <w:rPr>
          <w:rStyle w:val="Refdenotaalpie"/>
          <w:rFonts w:ascii="Arial" w:hAnsi="Arial" w:cs="Arial"/>
          <w:bCs/>
          <w:iCs/>
          <w:sz w:val="22"/>
          <w:szCs w:val="22"/>
        </w:rPr>
        <w:footnoteReference w:customMarkFollows="1" w:id="88"/>
        <w:sym w:font="Symbol" w:char="F02A"/>
      </w:r>
      <w:r w:rsidRPr="00201277">
        <w:rPr>
          <w:rStyle w:val="Refdenotaalpie"/>
          <w:rFonts w:ascii="Arial" w:hAnsi="Arial" w:cs="Arial"/>
          <w:bCs/>
          <w:iCs/>
          <w:sz w:val="22"/>
          <w:szCs w:val="22"/>
        </w:rPr>
        <w:sym w:font="Symbol" w:char="F02A"/>
      </w:r>
      <w:r w:rsidRPr="00201277">
        <w:rPr>
          <w:rFonts w:ascii="Arial" w:hAnsi="Arial" w:cs="Arial"/>
          <w:bCs/>
          <w:iCs/>
          <w:sz w:val="22"/>
          <w:szCs w:val="22"/>
        </w:rPr>
        <w:t xml:space="preserve"> tiene su validez en la medida en que responde a una legislación especial, ya que: </w:t>
      </w:r>
      <w:r w:rsidRPr="00201277">
        <w:rPr>
          <w:rFonts w:ascii="Arial" w:hAnsi="Arial" w:cs="Arial"/>
          <w:bCs/>
          <w:i/>
          <w:iCs/>
          <w:sz w:val="22"/>
          <w:szCs w:val="22"/>
        </w:rPr>
        <w:t>es necesario partir de una clara delimitación de las fuentes normativas aplicables… Dado que el peligro de la navegación marítima exige la adopción de medidas especiales</w:t>
      </w:r>
      <w:r w:rsidRPr="00201277">
        <w:rPr>
          <w:rStyle w:val="Refdenotaalpie"/>
          <w:rFonts w:ascii="Arial" w:hAnsi="Arial" w:cs="Arial"/>
          <w:bCs/>
          <w:i/>
          <w:iCs/>
          <w:sz w:val="22"/>
          <w:szCs w:val="22"/>
        </w:rPr>
        <w:footnoteReference w:id="89"/>
      </w:r>
      <w:r w:rsidRPr="00201277">
        <w:rPr>
          <w:rFonts w:ascii="Arial" w:hAnsi="Arial" w:cs="Arial"/>
          <w:bCs/>
          <w:i/>
          <w:iCs/>
          <w:sz w:val="22"/>
          <w:szCs w:val="22"/>
        </w:rPr>
        <w:t xml:space="preserve">, </w:t>
      </w:r>
      <w:r w:rsidRPr="00201277">
        <w:rPr>
          <w:rFonts w:ascii="Arial" w:hAnsi="Arial" w:cs="Arial"/>
          <w:bCs/>
          <w:iCs/>
          <w:sz w:val="22"/>
          <w:szCs w:val="22"/>
        </w:rPr>
        <w:t>por lo cual una subsecuente utilización de una normativa especializada hará más plausible la indemnización de daños debidos a la contaminación ocasionados por derrames procedentes de buques tanque; figuras legales como el Convenio de Responsabilidad Civil de 1992 en donde se establecen principios básicos de la responsabilidad civil, así como también el Convenio del FONDO de 1992, complementario al Convenio de Responsabilidad Civil establece un régimen para indemnizar a las víctimas.</w:t>
      </w:r>
    </w:p>
    <w:p w:rsidR="00197AA0" w:rsidRPr="00201277" w:rsidRDefault="00197AA0" w:rsidP="00232C32">
      <w:pPr>
        <w:spacing w:line="360" w:lineRule="auto"/>
        <w:ind w:right="44" w:firstLine="567"/>
        <w:jc w:val="both"/>
        <w:rPr>
          <w:rFonts w:ascii="Arial" w:hAnsi="Arial" w:cs="Arial"/>
          <w:bCs/>
          <w:iCs/>
          <w:sz w:val="22"/>
          <w:szCs w:val="22"/>
        </w:rPr>
      </w:pPr>
    </w:p>
    <w:p w:rsidR="00197AA0" w:rsidRDefault="00197AA0" w:rsidP="00232C32">
      <w:pPr>
        <w:spacing w:line="360" w:lineRule="auto"/>
        <w:ind w:right="44" w:firstLine="567"/>
        <w:jc w:val="both"/>
        <w:rPr>
          <w:rFonts w:ascii="Arial" w:hAnsi="Arial" w:cs="Arial"/>
          <w:bCs/>
          <w:iCs/>
          <w:sz w:val="22"/>
          <w:szCs w:val="22"/>
        </w:rPr>
      </w:pPr>
      <w:r w:rsidRPr="00201277">
        <w:rPr>
          <w:rFonts w:ascii="Arial" w:hAnsi="Arial" w:cs="Arial"/>
          <w:bCs/>
          <w:iCs/>
          <w:sz w:val="22"/>
          <w:szCs w:val="22"/>
        </w:rPr>
        <w:t>La expresión de daños ocasionados por contaminación</w:t>
      </w:r>
      <w:r w:rsidRPr="00201277">
        <w:rPr>
          <w:rStyle w:val="Refdenotaalpie"/>
          <w:rFonts w:ascii="Arial" w:hAnsi="Arial" w:cs="Arial"/>
          <w:bCs/>
          <w:iCs/>
          <w:sz w:val="22"/>
          <w:szCs w:val="22"/>
        </w:rPr>
        <w:footnoteReference w:customMarkFollows="1" w:id="90"/>
        <w:sym w:font="Symbol" w:char="F02A"/>
      </w:r>
      <w:r w:rsidRPr="00201277">
        <w:rPr>
          <w:rFonts w:ascii="Arial" w:hAnsi="Arial" w:cs="Arial"/>
          <w:bCs/>
          <w:iCs/>
          <w:sz w:val="22"/>
          <w:szCs w:val="22"/>
        </w:rPr>
        <w:t xml:space="preserve"> está contemplada en el Convenio de Responsabilidad Civil, la cual la figura de la indemnización está limitada a costos contraídos o que se vayan a contraer por concepto de las medidas razonables de </w:t>
      </w:r>
      <w:r w:rsidRPr="00201277">
        <w:rPr>
          <w:rFonts w:ascii="Arial" w:hAnsi="Arial" w:cs="Arial"/>
          <w:bCs/>
          <w:iCs/>
          <w:sz w:val="22"/>
          <w:szCs w:val="22"/>
        </w:rPr>
        <w:lastRenderedPageBreak/>
        <w:t>restauración del medio ambiente contaminado. La noción de daños ocasionados por contaminación incluye medidas, para prevenir o reducir al mínimo los daños debidos a la contaminación en el territorio, mar territorial o Zona Económica Exclusiva, así como los  gastos contraídos por las medidas preventivas son recuperables aún cuando no ocurra derrame de hidrocarburos, siempre y cuando haya una amenaza grave e inminente de daños por contaminación, en este campo de acción está ubicado el caso de Shen Neng 1, en el cual se le condenó a pagar la suma de $920,000 dólares estadounidenses como multa, en concepto de tareas de limpieza.</w:t>
      </w:r>
    </w:p>
    <w:p w:rsidR="00197AA0" w:rsidRPr="00201277" w:rsidRDefault="001D7573" w:rsidP="00232C32">
      <w:pPr>
        <w:spacing w:line="360" w:lineRule="auto"/>
        <w:ind w:right="44" w:firstLine="567"/>
        <w:jc w:val="both"/>
        <w:rPr>
          <w:rFonts w:ascii="Arial" w:hAnsi="Arial" w:cs="Arial"/>
          <w:bCs/>
          <w:iCs/>
          <w:sz w:val="22"/>
          <w:szCs w:val="22"/>
        </w:rPr>
      </w:pPr>
      <w:r>
        <w:rPr>
          <w:rFonts w:ascii="Arial" w:hAnsi="Arial" w:cs="Arial"/>
          <w:bCs/>
          <w:iCs/>
          <w:noProof/>
          <w:sz w:val="22"/>
          <w:szCs w:val="22"/>
        </w:rPr>
        <w:pict>
          <v:shape id="_x0000_s1091" type="#_x0000_t202" style="position:absolute;left:0;text-align:left;margin-left:187pt;margin-top:142.3pt;width:31.8pt;height:21pt;z-index:251718656;mso-height-percent:200;mso-height-percent:200;mso-width-relative:margin;mso-height-relative:margin" fillcolor="white [3212]" stroked="f">
            <v:textbox style="mso-next-textbox:#_x0000_s1091;mso-fit-shape-to-text:t">
              <w:txbxContent>
                <w:p w:rsidR="00AC7D7B" w:rsidRDefault="00AC7D7B" w:rsidP="006F39C3">
                  <w:r>
                    <w:t>44</w:t>
                  </w:r>
                </w:p>
              </w:txbxContent>
            </v:textbox>
          </v:shape>
        </w:pict>
      </w: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bCs/>
          <w:iCs/>
          <w:sz w:val="22"/>
          <w:szCs w:val="22"/>
        </w:rPr>
        <w:t xml:space="preserve">Sin embargo y pese a la generación de medidas sancionatorias, </w:t>
      </w:r>
      <w:r w:rsidRPr="00201277">
        <w:rPr>
          <w:rFonts w:ascii="Arial" w:hAnsi="Arial" w:cs="Arial"/>
          <w:bCs/>
          <w:i/>
          <w:iCs/>
          <w:sz w:val="22"/>
          <w:szCs w:val="22"/>
        </w:rPr>
        <w:t xml:space="preserve">las mareas negras continúan siendo un problema sin solución. Desde comienzos del siglo XX se han constatado más de 200 accidentes de buques petroleros que han derramado cientos de miles de toneladas de crudo al medio marino en todo el planeta… </w:t>
      </w:r>
      <w:r w:rsidRPr="00201277">
        <w:rPr>
          <w:rFonts w:ascii="Arial" w:hAnsi="Arial" w:cs="Arial"/>
          <w:i/>
          <w:sz w:val="22"/>
          <w:szCs w:val="22"/>
        </w:rPr>
        <w:t>Los vertidos de crudo al medio marino tienen siempre un impacto negativo sobre los ecosistemas, especies de fauna y flora y sectores económicos. La contaminación de sustancias derivadas de hidrocarburos posee efectos acumulativos y persistentes, que se introducen en las cadenas tróficas marinas mediante su principal vector, el agua. Acumulándose en los organismos, la contaminación puede llegar al hombre por consumo de organismos filtradores, como por ejemplo, los moluscos</w:t>
      </w:r>
      <w:r w:rsidRPr="00201277">
        <w:rPr>
          <w:rStyle w:val="Refdenotaalpie"/>
          <w:rFonts w:ascii="Arial" w:hAnsi="Arial" w:cs="Arial"/>
          <w:i/>
          <w:sz w:val="22"/>
          <w:szCs w:val="22"/>
        </w:rPr>
        <w:footnoteReference w:id="91"/>
      </w:r>
      <w:r w:rsidRPr="00201277">
        <w:rPr>
          <w:rFonts w:ascii="Arial" w:hAnsi="Arial" w:cs="Arial"/>
          <w:i/>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En consecuencia casos de contaminación por hidrocarburos en los espacios marítimos internacionales como el ocurrido en la Gran Barrera de Coral, por el buque Shen Neng 1 deben de ser precedentes para que tragedias como esta no ocurran como fenómenos recurrentes ya que los espacios marítimos son:</w:t>
      </w:r>
      <w:r w:rsidRPr="00201277">
        <w:rPr>
          <w:rFonts w:ascii="Arial" w:hAnsi="Arial" w:cs="Arial"/>
          <w:i/>
          <w:sz w:val="22"/>
          <w:szCs w:val="22"/>
        </w:rPr>
        <w:t xml:space="preserve"> Una materia de gran importancia porque nos estamos refiriendo a la contaminación del mar, el ámbito más extenso del planeta, por detrás del aire, que es medio de vida de las más diversas especies vegetales y animales, fuente de recursos para toda la humanidad y clave para su regeneración física</w:t>
      </w:r>
      <w:r w:rsidRPr="00201277">
        <w:rPr>
          <w:rStyle w:val="Refdenotaalpie"/>
          <w:rFonts w:ascii="Arial" w:hAnsi="Arial" w:cs="Arial"/>
          <w:i/>
          <w:sz w:val="22"/>
          <w:szCs w:val="22"/>
        </w:rPr>
        <w:footnoteReference w:id="92"/>
      </w:r>
      <w:r w:rsidRPr="00201277">
        <w:rPr>
          <w:rFonts w:ascii="Arial" w:hAnsi="Arial" w:cs="Arial"/>
          <w:i/>
          <w:sz w:val="22"/>
          <w:szCs w:val="22"/>
        </w:rPr>
        <w:t>.</w:t>
      </w:r>
    </w:p>
    <w:p w:rsidR="00197AA0" w:rsidRPr="00201277" w:rsidRDefault="00197AA0" w:rsidP="00232C32">
      <w:pPr>
        <w:pStyle w:val="NormalWeb"/>
        <w:spacing w:line="360" w:lineRule="auto"/>
        <w:ind w:right="44"/>
        <w:jc w:val="both"/>
        <w:rPr>
          <w:rFonts w:ascii="Arial" w:hAnsi="Arial" w:cs="Arial"/>
          <w:b/>
          <w:color w:val="000000"/>
          <w:sz w:val="22"/>
          <w:szCs w:val="22"/>
        </w:rPr>
      </w:pPr>
      <w:r w:rsidRPr="00201277">
        <w:rPr>
          <w:rFonts w:ascii="Arial" w:hAnsi="Arial" w:cs="Arial"/>
          <w:b/>
          <w:color w:val="000000"/>
          <w:sz w:val="22"/>
          <w:szCs w:val="22"/>
        </w:rPr>
        <w:t>1.2 Evolución de la Regulación Internacional en materia de seguridad marítima</w:t>
      </w:r>
    </w:p>
    <w:p w:rsidR="00197AA0" w:rsidRPr="00201277" w:rsidRDefault="001D7573" w:rsidP="00232C32">
      <w:pPr>
        <w:pStyle w:val="NormalWeb"/>
        <w:spacing w:line="360" w:lineRule="auto"/>
        <w:ind w:right="44" w:firstLine="567"/>
        <w:jc w:val="both"/>
        <w:rPr>
          <w:rFonts w:ascii="Arial" w:hAnsi="Arial" w:cs="Arial"/>
          <w:color w:val="000000"/>
          <w:sz w:val="22"/>
          <w:szCs w:val="22"/>
        </w:rPr>
      </w:pPr>
      <w:r w:rsidRPr="001D7573">
        <w:rPr>
          <w:rFonts w:ascii="Arial" w:hAnsi="Arial" w:cs="Arial"/>
          <w:bCs/>
          <w:iCs/>
          <w:noProof/>
          <w:sz w:val="22"/>
          <w:szCs w:val="22"/>
        </w:rPr>
        <w:pict>
          <v:shape id="_x0000_s1092" type="#_x0000_t202" style="position:absolute;left:0;text-align:left;margin-left:215.55pt;margin-top:269.8pt;width:31.8pt;height:21pt;z-index:251719680;mso-height-percent:200;mso-height-percent:200;mso-width-relative:margin;mso-height-relative:margin" fillcolor="white [3212]" stroked="f">
            <v:textbox style="mso-next-textbox:#_x0000_s1092;mso-fit-shape-to-text:t">
              <w:txbxContent>
                <w:p w:rsidR="00AC7D7B" w:rsidRDefault="00AC7D7B" w:rsidP="006F39C3">
                  <w:r>
                    <w:t>45</w:t>
                  </w:r>
                </w:p>
              </w:txbxContent>
            </v:textbox>
          </v:shape>
        </w:pict>
      </w:r>
      <w:r w:rsidR="00197AA0" w:rsidRPr="00201277">
        <w:rPr>
          <w:rFonts w:ascii="Arial" w:hAnsi="Arial" w:cs="Arial"/>
          <w:color w:val="000000"/>
          <w:sz w:val="22"/>
          <w:szCs w:val="22"/>
        </w:rPr>
        <w:t xml:space="preserve">Los accidentes descritos anteriormente, han sido una consecuencia de un determinado modo de llevar a cabo el transporte de hidrocarburos a escala prácticamente </w:t>
      </w:r>
      <w:r w:rsidR="00197AA0" w:rsidRPr="00201277">
        <w:rPr>
          <w:rFonts w:ascii="Arial" w:hAnsi="Arial" w:cs="Arial"/>
          <w:color w:val="000000"/>
          <w:sz w:val="22"/>
          <w:szCs w:val="22"/>
        </w:rPr>
        <w:lastRenderedPageBreak/>
        <w:t xml:space="preserve">mundial; actividad en la que han </w:t>
      </w:r>
      <w:r w:rsidR="00197AA0" w:rsidRPr="00201277">
        <w:rPr>
          <w:rFonts w:ascii="Arial" w:hAnsi="Arial" w:cs="Arial"/>
          <w:sz w:val="22"/>
          <w:szCs w:val="22"/>
        </w:rPr>
        <w:t>primado los intereses comerciales frente a la seguridad de los buques, frente a la seguridad de las tripulaciones y, también frente al respeto del medio ambiente marino</w:t>
      </w:r>
      <w:r w:rsidR="00197AA0" w:rsidRPr="00201277">
        <w:rPr>
          <w:rStyle w:val="Refdenotaalpie"/>
          <w:rFonts w:ascii="Arial" w:hAnsi="Arial" w:cs="Arial"/>
          <w:color w:val="000000"/>
          <w:sz w:val="22"/>
          <w:szCs w:val="22"/>
        </w:rPr>
        <w:footnoteReference w:customMarkFollows="1" w:id="93"/>
        <w:sym w:font="Symbol" w:char="F02A"/>
      </w:r>
      <w:r w:rsidR="00197AA0" w:rsidRPr="00201277">
        <w:rPr>
          <w:rFonts w:ascii="Arial" w:hAnsi="Arial" w:cs="Arial"/>
          <w:color w:val="000000"/>
          <w:sz w:val="22"/>
          <w:szCs w:val="22"/>
        </w:rPr>
        <w:t xml:space="preserve">. Ante esta situación se ha creado un importante paquete de medidas internacionales, con las que se pretende reducir el riesgo al mínimo posible. Se trata de medidas que imponen un importante número de obligaciones a los Estados que los hayan ratificado, o medidas que devienen obligatorias para los Estados, en cuanto son miembros de alguna organización internacional. </w:t>
      </w:r>
    </w:p>
    <w:p w:rsidR="00197AA0" w:rsidRPr="00201277" w:rsidRDefault="00197AA0" w:rsidP="00232C32">
      <w:pPr>
        <w:pStyle w:val="NormalWeb"/>
        <w:spacing w:line="360" w:lineRule="auto"/>
        <w:ind w:right="44" w:firstLine="567"/>
        <w:jc w:val="both"/>
        <w:rPr>
          <w:rFonts w:ascii="Arial" w:hAnsi="Arial" w:cs="Arial"/>
          <w:color w:val="000000"/>
          <w:sz w:val="22"/>
          <w:szCs w:val="22"/>
        </w:rPr>
      </w:pPr>
      <w:r w:rsidRPr="00201277">
        <w:rPr>
          <w:rFonts w:ascii="Arial" w:hAnsi="Arial" w:cs="Arial"/>
          <w:color w:val="000000"/>
          <w:sz w:val="22"/>
          <w:szCs w:val="22"/>
        </w:rPr>
        <w:t>La dificultad radica en las capacidades de control y ejecución, que estos instrumentos internacionales reconocen a los Estados, independientemente de la posición que ocupen, es decir, sean del Estado del pabellón, sea el Estado ribereño o el Estado del puerto y en la voluntad de los Estados; de darles efectividad a esas medidas. Algunas de ellas que se han destacado e impulsado con el paso del tiempo han sido la creación de la Convención de las Naciones Unidas sobre el derecho del mar (CONVEMAR)</w:t>
      </w:r>
      <w:r w:rsidRPr="00201277">
        <w:rPr>
          <w:rStyle w:val="Refdenotaalpie"/>
          <w:rFonts w:ascii="Arial" w:hAnsi="Arial" w:cs="Arial"/>
          <w:color w:val="000000"/>
          <w:sz w:val="22"/>
          <w:szCs w:val="22"/>
        </w:rPr>
        <w:footnoteReference w:customMarkFollows="1" w:id="94"/>
        <w:sym w:font="Symbol" w:char="F02A"/>
      </w:r>
      <w:r w:rsidRPr="00201277">
        <w:rPr>
          <w:rStyle w:val="Refdenotaalpie"/>
          <w:rFonts w:ascii="Arial" w:hAnsi="Arial" w:cs="Arial"/>
          <w:color w:val="000000"/>
          <w:sz w:val="22"/>
          <w:szCs w:val="22"/>
        </w:rPr>
        <w:sym w:font="Symbol" w:char="F02A"/>
      </w:r>
      <w:r w:rsidRPr="00201277">
        <w:rPr>
          <w:rFonts w:ascii="Arial" w:hAnsi="Arial" w:cs="Arial"/>
          <w:color w:val="000000"/>
          <w:sz w:val="22"/>
          <w:szCs w:val="22"/>
        </w:rPr>
        <w:t xml:space="preserve">, esta misma incluye una amplia regulación relativa a la contaminación causada por buques y dirigida esencialmente a determinar cuáles son las obligaciones generales de los Estados en esta materia, delimitando para ello sus competencias normativas, ejecutivas y de control. Estas normativas se recogen en la parte 12 de la convención, titulada “Protección y Preservación del Medio Marino”, en concreto abarca los artículos 192 a 237. Estos artículos pretenden conciliar los distintos intereses en juegos representados; por un lado se encuentra el principio de la libertad de navegación y, por el otro lado, la necesidad de proteger y preservar los espacios marinos; el resultado final se inclinó a favor de la libertad de navegación, es decir que la CONVEMAR, favorece más los derechos de navegación de los Estados de Pabellón, que los derechos de protección de los Estados costeros o ribereños frente a los riesgos de contaminación. </w:t>
      </w:r>
    </w:p>
    <w:p w:rsidR="00197AA0" w:rsidRPr="00201277" w:rsidRDefault="001D7573" w:rsidP="00232C32">
      <w:pPr>
        <w:pStyle w:val="NormalWeb"/>
        <w:spacing w:line="360" w:lineRule="auto"/>
        <w:ind w:right="44" w:firstLine="567"/>
        <w:jc w:val="both"/>
        <w:rPr>
          <w:rFonts w:ascii="Arial" w:hAnsi="Arial" w:cs="Arial"/>
          <w:color w:val="000000"/>
          <w:sz w:val="22"/>
          <w:szCs w:val="22"/>
        </w:rPr>
      </w:pPr>
      <w:r>
        <w:rPr>
          <w:rFonts w:ascii="Arial" w:hAnsi="Arial" w:cs="Arial"/>
          <w:noProof/>
          <w:color w:val="000000"/>
          <w:sz w:val="22"/>
          <w:szCs w:val="22"/>
          <w:lang w:eastAsia="es-ES"/>
        </w:rPr>
        <w:pict>
          <v:shape id="_x0000_s1093" type="#_x0000_t202" style="position:absolute;left:0;text-align:left;margin-left:181.15pt;margin-top:287.05pt;width:31.8pt;height:21pt;z-index:251720704;mso-height-percent:200;mso-height-percent:200;mso-width-relative:margin;mso-height-relative:margin" fillcolor="white [3212]" stroked="f">
            <v:textbox style="mso-next-textbox:#_x0000_s1093;mso-fit-shape-to-text:t">
              <w:txbxContent>
                <w:p w:rsidR="00AC7D7B" w:rsidRDefault="00AC7D7B" w:rsidP="006F39C3">
                  <w:r>
                    <w:t>46</w:t>
                  </w:r>
                </w:p>
              </w:txbxContent>
            </v:textbox>
          </v:shape>
        </w:pict>
      </w:r>
      <w:r w:rsidR="00197AA0" w:rsidRPr="00201277">
        <w:rPr>
          <w:rFonts w:ascii="Arial" w:hAnsi="Arial" w:cs="Arial"/>
          <w:color w:val="000000"/>
          <w:sz w:val="22"/>
          <w:szCs w:val="22"/>
        </w:rPr>
        <w:t xml:space="preserve">Es interesante mencionar que la práctica choca de manera abierta con lo dispuesto en la CONVEMAR, ya que existe un importante número de Estados, bien sea por incapacidad, por indisponibilidad, o por falta de voluntad, que incumplen de forma abierta </w:t>
      </w:r>
      <w:r w:rsidR="00197AA0" w:rsidRPr="00201277">
        <w:rPr>
          <w:rFonts w:ascii="Arial" w:hAnsi="Arial" w:cs="Arial"/>
          <w:color w:val="000000"/>
          <w:sz w:val="22"/>
          <w:szCs w:val="22"/>
        </w:rPr>
        <w:lastRenderedPageBreak/>
        <w:t>las previsiones que aquella contiene, convirtiéndose en las llamadas banderas de conveniencia, produciéndose de este modo, una vía que no solo facilita sino que también permite la navegación de buques subestandard</w:t>
      </w:r>
      <w:r w:rsidR="00197AA0" w:rsidRPr="00201277">
        <w:rPr>
          <w:rStyle w:val="Refdenotaalpie"/>
          <w:rFonts w:ascii="Arial" w:hAnsi="Arial" w:cs="Arial"/>
          <w:color w:val="000000"/>
          <w:sz w:val="22"/>
          <w:szCs w:val="22"/>
        </w:rPr>
        <w:footnoteReference w:customMarkFollows="1" w:id="95"/>
        <w:sym w:font="Symbol" w:char="F02A"/>
      </w:r>
      <w:r w:rsidR="00197AA0" w:rsidRPr="00201277">
        <w:rPr>
          <w:rFonts w:ascii="Arial" w:hAnsi="Arial" w:cs="Arial"/>
          <w:color w:val="000000"/>
          <w:sz w:val="22"/>
          <w:szCs w:val="22"/>
        </w:rPr>
        <w:t>, cuya navegación es un peligro para sus propios tripulantes, para el medio marino en su conjunto y para el Estado ribereño que ven aumentadas las posibilidades de sufrir un accidente en sus costas.</w:t>
      </w:r>
    </w:p>
    <w:p w:rsidR="00197AA0" w:rsidRPr="00201277" w:rsidRDefault="00197AA0" w:rsidP="00232C32">
      <w:pPr>
        <w:pStyle w:val="NormalWeb"/>
        <w:spacing w:line="360" w:lineRule="auto"/>
        <w:ind w:right="44" w:firstLine="567"/>
        <w:jc w:val="both"/>
        <w:rPr>
          <w:rFonts w:ascii="Arial" w:hAnsi="Arial" w:cs="Arial"/>
          <w:color w:val="000000"/>
          <w:sz w:val="22"/>
          <w:szCs w:val="22"/>
        </w:rPr>
      </w:pPr>
      <w:r w:rsidRPr="00201277">
        <w:rPr>
          <w:rFonts w:ascii="Arial" w:hAnsi="Arial" w:cs="Arial"/>
          <w:color w:val="000000"/>
          <w:sz w:val="22"/>
          <w:szCs w:val="22"/>
        </w:rPr>
        <w:t>Ante esto, los Estados ribereños son los que sufren las consecuencias de los accidentes que se producen en las proximidades de sus costas, fueron los más perjudicados por la opción de la libertad de navegación que defiende la CONVEMAR, puesto que se está permitiendo que en zonas próximas a la costa, se opere prácticamente sin restricciones el principio de libertad de navegación, exactamente igual que si se tratara de la navegación por alta mar, sin al mismo tiempo dotar a estos Estados de los medios normativos, ejecutivos y de control necesarios para asegurar una correcta protección y preservación del medio marino. A manera de ejemplo, dentro del mar territorial</w:t>
      </w:r>
      <w:r w:rsidRPr="00201277">
        <w:rPr>
          <w:rStyle w:val="Refdenotaalpie"/>
          <w:rFonts w:ascii="Arial" w:hAnsi="Arial" w:cs="Arial"/>
          <w:color w:val="000000"/>
          <w:sz w:val="22"/>
          <w:szCs w:val="22"/>
        </w:rPr>
        <w:footnoteReference w:customMarkFollows="1" w:id="96"/>
        <w:sym w:font="Symbol" w:char="F02A"/>
      </w:r>
      <w:r w:rsidRPr="00201277">
        <w:rPr>
          <w:rStyle w:val="Refdenotaalpie"/>
          <w:rFonts w:ascii="Arial" w:hAnsi="Arial" w:cs="Arial"/>
          <w:color w:val="000000"/>
          <w:sz w:val="22"/>
          <w:szCs w:val="22"/>
        </w:rPr>
        <w:sym w:font="Symbol" w:char="F02A"/>
      </w:r>
      <w:r w:rsidRPr="00201277">
        <w:rPr>
          <w:rFonts w:ascii="Arial" w:hAnsi="Arial" w:cs="Arial"/>
          <w:color w:val="000000"/>
          <w:sz w:val="22"/>
          <w:szCs w:val="22"/>
        </w:rPr>
        <w:t>, los buques extranjeros disfrutan del derecho de paso inocente</w:t>
      </w:r>
      <w:r w:rsidRPr="00201277">
        <w:rPr>
          <w:rStyle w:val="Refdenotaalpie"/>
          <w:rFonts w:ascii="Arial" w:hAnsi="Arial" w:cs="Arial"/>
          <w:color w:val="000000"/>
          <w:sz w:val="22"/>
          <w:szCs w:val="22"/>
        </w:rPr>
        <w:footnoteReference w:customMarkFollows="1" w:id="97"/>
        <w:sym w:font="Symbol" w:char="F02A"/>
      </w:r>
      <w:r w:rsidRPr="00201277">
        <w:rPr>
          <w:rStyle w:val="Refdenotaalpie"/>
          <w:rFonts w:ascii="Arial" w:hAnsi="Arial" w:cs="Arial"/>
          <w:color w:val="000000"/>
          <w:sz w:val="22"/>
          <w:szCs w:val="22"/>
        </w:rPr>
        <w:sym w:font="Symbol" w:char="F02A"/>
      </w:r>
      <w:r w:rsidRPr="00201277">
        <w:rPr>
          <w:rStyle w:val="Refdenotaalpie"/>
          <w:rFonts w:ascii="Arial" w:hAnsi="Arial" w:cs="Arial"/>
          <w:color w:val="000000"/>
          <w:sz w:val="22"/>
          <w:szCs w:val="22"/>
        </w:rPr>
        <w:sym w:font="Symbol" w:char="F02A"/>
      </w:r>
      <w:r w:rsidRPr="00201277">
        <w:rPr>
          <w:rFonts w:ascii="Arial" w:hAnsi="Arial" w:cs="Arial"/>
          <w:color w:val="000000"/>
          <w:sz w:val="22"/>
          <w:szCs w:val="22"/>
        </w:rPr>
        <w:t>, lo cual no impide que el Estado ribereño pueda dictar, de conformidad con las disposiciones de la propia Convención y otras normas de derecho internacional, leyes y reglamentos relativos, al paso inocente por el mar territorial, sobre la preservación de su medio ambiente y la prevención, reducción y control de la contaminación de este.</w:t>
      </w:r>
    </w:p>
    <w:p w:rsidR="00197AA0" w:rsidRPr="00201277" w:rsidRDefault="00197AA0" w:rsidP="00232C32">
      <w:pPr>
        <w:pStyle w:val="NormalWeb"/>
        <w:spacing w:line="360" w:lineRule="auto"/>
        <w:ind w:right="44" w:firstLine="567"/>
        <w:jc w:val="both"/>
        <w:rPr>
          <w:rFonts w:ascii="Arial" w:hAnsi="Arial" w:cs="Arial"/>
          <w:color w:val="000000"/>
          <w:sz w:val="22"/>
          <w:szCs w:val="22"/>
        </w:rPr>
      </w:pPr>
      <w:r w:rsidRPr="00201277">
        <w:rPr>
          <w:rFonts w:ascii="Arial" w:hAnsi="Arial" w:cs="Arial"/>
          <w:color w:val="000000"/>
          <w:sz w:val="22"/>
          <w:szCs w:val="22"/>
        </w:rPr>
        <w:t>Para el caso de que se produzca un accidente marítimo más allá del mar territorial y se produzca una amenaza de contaminación del medio marino, el Estado ribereño podrá adoptar todas las medidas necesarias que guarden proporción con el daño real o potencial para proteger sus costas o intereses conexos, esto se encuentra regulado en el artículo 221.1 de la CONVEMAR.</w:t>
      </w:r>
    </w:p>
    <w:p w:rsidR="00197AA0" w:rsidRPr="00201277" w:rsidRDefault="00197AA0" w:rsidP="00232C32">
      <w:pPr>
        <w:pStyle w:val="NormalWeb"/>
        <w:spacing w:line="360" w:lineRule="auto"/>
        <w:ind w:right="44" w:firstLine="567"/>
        <w:jc w:val="both"/>
        <w:rPr>
          <w:rFonts w:ascii="Arial" w:hAnsi="Arial" w:cs="Arial"/>
          <w:color w:val="000000"/>
          <w:sz w:val="22"/>
          <w:szCs w:val="22"/>
        </w:rPr>
      </w:pPr>
      <w:r w:rsidRPr="00201277">
        <w:rPr>
          <w:rFonts w:ascii="Arial" w:hAnsi="Arial" w:cs="Arial"/>
          <w:color w:val="000000"/>
          <w:sz w:val="22"/>
          <w:szCs w:val="22"/>
        </w:rPr>
        <w:t xml:space="preserve">La posibilidad de estas actuaciones unilaterales ajenas a la propia CONVEMAR, no sino una reacción a las grandes carencias que esta presenta en relación al Estado ribereño, que prácticamente se encuentran a la intemperie, respecto a la posibilidad de </w:t>
      </w:r>
      <w:r w:rsidRPr="00201277">
        <w:rPr>
          <w:rFonts w:ascii="Arial" w:hAnsi="Arial" w:cs="Arial"/>
          <w:color w:val="000000"/>
          <w:sz w:val="22"/>
          <w:szCs w:val="22"/>
        </w:rPr>
        <w:lastRenderedPageBreak/>
        <w:t>actuar preventivamente, sobre todo, pero también relativamente respecto a buques incumplidores.</w:t>
      </w:r>
    </w:p>
    <w:p w:rsidR="00197AA0" w:rsidRPr="00201277" w:rsidRDefault="001D7573" w:rsidP="00232C32">
      <w:pPr>
        <w:pStyle w:val="NormalWeb"/>
        <w:spacing w:line="360" w:lineRule="auto"/>
        <w:ind w:right="44" w:firstLine="567"/>
        <w:jc w:val="both"/>
        <w:rPr>
          <w:rFonts w:ascii="Arial" w:hAnsi="Arial" w:cs="Arial"/>
          <w:color w:val="000000"/>
          <w:sz w:val="22"/>
          <w:szCs w:val="22"/>
        </w:rPr>
      </w:pPr>
      <w:r>
        <w:rPr>
          <w:rFonts w:ascii="Arial" w:hAnsi="Arial" w:cs="Arial"/>
          <w:noProof/>
          <w:color w:val="000000"/>
          <w:sz w:val="22"/>
          <w:szCs w:val="22"/>
          <w:lang w:eastAsia="es-ES"/>
        </w:rPr>
        <w:pict>
          <v:shape id="_x0000_s1094" type="#_x0000_t202" style="position:absolute;left:0;text-align:left;margin-left:196.35pt;margin-top:191.15pt;width:31.8pt;height:21pt;z-index:251721728;mso-height-percent:200;mso-height-percent:200;mso-width-relative:margin;mso-height-relative:margin" fillcolor="white [3212]" stroked="f">
            <v:textbox style="mso-next-textbox:#_x0000_s1094;mso-fit-shape-to-text:t">
              <w:txbxContent>
                <w:p w:rsidR="00AC7D7B" w:rsidRDefault="00AC7D7B" w:rsidP="006F39C3">
                  <w:r>
                    <w:t>47</w:t>
                  </w:r>
                </w:p>
              </w:txbxContent>
            </v:textbox>
          </v:shape>
        </w:pict>
      </w:r>
      <w:r w:rsidR="00197AA0" w:rsidRPr="00201277">
        <w:rPr>
          <w:rFonts w:ascii="Arial" w:hAnsi="Arial" w:cs="Arial"/>
          <w:color w:val="000000"/>
          <w:sz w:val="22"/>
          <w:szCs w:val="22"/>
        </w:rPr>
        <w:t>Ante este breve marco anteriormente descrito se deduce que la actual regulación internacional es por una parte, claramente insuficiente para prevenir los accidentes de buques petroleros y, por otra parte, alguna de sus potencialidades no han sido suficientemente desarrolladas por los Estados afectados. Centrándose en la CONVEMAR, sería deseable que se procediese a realizar una reforma de esta convención en aquellos aspectos que no han funcionado correctamente, intentando que se produzca alguna variación en el centro de gravedad sobre el cual estaba girando su filosofía, es decir, habría de producirse una mayor valoración de los aspectos relativos a la seguridad marítima y a la protección y preservación del medio marino en detrimento del principio de libertad de navegación. El Estado ribereño podría así realizar inspecciones físicas de los buques y llevar a cabo procedimientos instructores que podrían producir la expulsión del buque incumplidor de esas aguas o bien su retención hasta que se subsanen las deficiencias que presenta.</w:t>
      </w:r>
    </w:p>
    <w:p w:rsidR="00197AA0" w:rsidRPr="00201277" w:rsidRDefault="00197AA0" w:rsidP="00232C32">
      <w:pPr>
        <w:pStyle w:val="NormalWeb"/>
        <w:spacing w:line="360" w:lineRule="auto"/>
        <w:ind w:right="44" w:firstLine="567"/>
        <w:jc w:val="both"/>
        <w:rPr>
          <w:rFonts w:ascii="Arial" w:hAnsi="Arial" w:cs="Arial"/>
          <w:color w:val="000000"/>
          <w:sz w:val="22"/>
          <w:szCs w:val="22"/>
        </w:rPr>
      </w:pPr>
      <w:r w:rsidRPr="00201277">
        <w:rPr>
          <w:rFonts w:ascii="Arial" w:hAnsi="Arial" w:cs="Arial"/>
          <w:color w:val="000000"/>
          <w:sz w:val="22"/>
          <w:szCs w:val="22"/>
        </w:rPr>
        <w:t>En resumen la actual situación de la legislación internacional marítima es notoriamente mejorable aunque sin embargo todavía existen muchas deficiencias técnicas y legales, sobre los cuales se tiene que seguir trabajando mucho mas, ya que si bien es cierto se ha impulsado la creación de una gran variedad de tratados, convenios y diversos instrumentos legales, así como también instituciones especializadas en la materia como lo es la OMI; esto no necesariamente representa una verdadera evolución, ya que debe acoplarse a la realidad del comercio marítimo internacional en la actualidad, que ha traído consigo grandes consecuencias a los océanos, debido a los innumerables accidentes por hidrocarburos que se han suscitado a lo largo de la historia. Por último hay que recordar los esfuerzos que se están haciendo en el seno de la OMI, en relación a la formación de las profesiones marítimas con la idea de reducir la incidencia del factor humano en los accidentes de buques mediante la exigencia de una mayor preparación de los trabajadores del mar y de una regulación laboral que les permita trabajar en las mejores condiciones posibles.</w:t>
      </w:r>
    </w:p>
    <w:p w:rsidR="00197AA0" w:rsidRPr="00201277" w:rsidRDefault="00197AA0" w:rsidP="00232C32">
      <w:pPr>
        <w:pStyle w:val="NormalWeb"/>
        <w:spacing w:line="360" w:lineRule="auto"/>
        <w:ind w:right="44"/>
        <w:jc w:val="both"/>
        <w:rPr>
          <w:rFonts w:ascii="Arial" w:hAnsi="Arial" w:cs="Arial"/>
          <w:color w:val="000000"/>
          <w:sz w:val="22"/>
          <w:szCs w:val="22"/>
        </w:rPr>
      </w:pPr>
      <w:r w:rsidRPr="00201277">
        <w:rPr>
          <w:rFonts w:ascii="Arial" w:hAnsi="Arial" w:cs="Arial"/>
          <w:b/>
          <w:color w:val="000000"/>
          <w:sz w:val="22"/>
          <w:szCs w:val="22"/>
        </w:rPr>
        <w:t xml:space="preserve">1.3 </w:t>
      </w:r>
      <w:r w:rsidRPr="00201277">
        <w:rPr>
          <w:rFonts w:ascii="Arial" w:hAnsi="Arial" w:cs="Arial"/>
          <w:b/>
          <w:sz w:val="22"/>
          <w:szCs w:val="22"/>
        </w:rPr>
        <w:t>Actualidad de la legislación marítima internacional</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lang w:eastAsia="es-ES"/>
        </w:rPr>
        <w:lastRenderedPageBreak/>
        <w:pict>
          <v:shape id="_x0000_s1095" type="#_x0000_t202" style="position:absolute;left:0;text-align:left;margin-left:159.05pt;margin-top:201.75pt;width:31.8pt;height:21pt;z-index:251722752;mso-height-percent:200;mso-height-percent:200;mso-width-relative:margin;mso-height-relative:margin" fillcolor="white [3212]" stroked="f">
            <v:textbox style="mso-next-textbox:#_x0000_s1095;mso-fit-shape-to-text:t">
              <w:txbxContent>
                <w:p w:rsidR="00AC7D7B" w:rsidRDefault="00AC7D7B" w:rsidP="006F39C3">
                  <w:r>
                    <w:t>48</w:t>
                  </w:r>
                </w:p>
              </w:txbxContent>
            </v:textbox>
          </v:shape>
        </w:pict>
      </w:r>
      <w:r w:rsidR="00197AA0" w:rsidRPr="00201277">
        <w:rPr>
          <w:rFonts w:ascii="Arial" w:hAnsi="Arial" w:cs="Arial"/>
          <w:sz w:val="22"/>
          <w:szCs w:val="22"/>
        </w:rPr>
        <w:t xml:space="preserve">En la actualidad, la legislación marítima internacional, cuenta con todo un amplio cuerpo de normas, convenios y tratados internacionales, así como también con otro tipo de mecanismos de regulación que se han venido creando a lo largo de las décadas anteriores, todo con el propósito de fortalecer la seguridad en los espacios marítimos como ya se ha descrito y visto anteriormente. Hoy en día la mayoría del comercio a nivel mundial, se da por vías marítimas, lo cual a la vez representa un riesgo debido a que uno de los productos que se transporta es el de los hidrocarburos, que es muy fundamental para la economía de la mayoría de los países sobre todo aquellos países industrializados, que lo utilizan aún en mayores cantidades, tal es el caso de los Estados Unidos, que es el país que más consume petróleo.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Como se ha venido describiendo a lo largo del desarrollo del presente capítulo, se  han recopilado algunos de los accidentes más emblemáticos de la historia que a la vez han marcado un hito, como el primero que se menciona en el presente, tal es el caso del Buque Torrey Canyon que dio vida al Convenio sobre la Responsabilidad Civil en 1969 y al Convenio FONDO de 1971, así como también otros accidentes que dieron origen a otros cuerpos legales de regulación marítima internacional, que todos pueden adoptar, reconocer y aceptar.</w:t>
      </w:r>
    </w:p>
    <w:p w:rsidR="00197AA0" w:rsidRDefault="00197AA0" w:rsidP="00232C32">
      <w:pPr>
        <w:autoSpaceDE w:val="0"/>
        <w:autoSpaceDN w:val="0"/>
        <w:adjustRightInd w:val="0"/>
        <w:spacing w:line="360" w:lineRule="auto"/>
        <w:ind w:right="44" w:firstLine="567"/>
        <w:jc w:val="both"/>
        <w:rPr>
          <w:rFonts w:ascii="Arial" w:hAnsi="Arial" w:cs="Arial"/>
          <w:sz w:val="22"/>
          <w:szCs w:val="22"/>
        </w:rPr>
      </w:pPr>
      <w:r w:rsidRPr="00201277">
        <w:rPr>
          <w:rFonts w:ascii="Arial" w:hAnsi="Arial" w:cs="Arial"/>
          <w:sz w:val="22"/>
          <w:szCs w:val="22"/>
        </w:rPr>
        <w:t>Es así como se puede establecer que en la actualidad, el principal organismo especializado de las Naciones Unidas encargado de la seguridad de la navegación y de la prevención de la contaminación por los buques, es decir la OMI, se ha venido transformando y evolucionando junto con el fenómeno de la globalización. En efecto, el amplio conjunto de convenios de la OMI, 50 en total, sustentados por, cientos de códigos, directrices y recomendaciones, rigen casi todos los aspectos del sector, desde el proyecto, la construcción, el equipo y la explotación de los buques hasta la formación de la gente de mar, o, por decirlo de otro modo, determinan desde el primer plano del buque hasta la última operación de desguace. Muchos de los principales convenios de la OMI, como el Convenio SOLAS, el Convenio de Arqueo, el Convenio de Líneas de Carga, el Reglamento de Abordajes, el Convenio de Formación y los Anexos I y II del Convenio MARPOL; han sido ratificados por Estados que, en conjunto, son responsables de más del 98 por ciento de la flota mundial</w:t>
      </w:r>
      <w:r w:rsidRPr="00201277">
        <w:rPr>
          <w:rStyle w:val="Refdenotaalpie"/>
          <w:rFonts w:ascii="Arial" w:hAnsi="Arial" w:cs="Arial"/>
          <w:sz w:val="22"/>
          <w:szCs w:val="22"/>
        </w:rPr>
        <w:footnoteReference w:id="98"/>
      </w:r>
      <w:r w:rsidRPr="00201277">
        <w:rPr>
          <w:rFonts w:ascii="Arial" w:hAnsi="Arial" w:cs="Arial"/>
          <w:sz w:val="22"/>
          <w:szCs w:val="22"/>
        </w:rPr>
        <w:t>.</w:t>
      </w: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rPr>
      </w:pPr>
    </w:p>
    <w:p w:rsidR="00197AA0" w:rsidRPr="00201277" w:rsidRDefault="001D7573" w:rsidP="00232C32">
      <w:pPr>
        <w:autoSpaceDE w:val="0"/>
        <w:autoSpaceDN w:val="0"/>
        <w:adjustRightInd w:val="0"/>
        <w:spacing w:line="360" w:lineRule="auto"/>
        <w:ind w:right="44" w:firstLine="567"/>
        <w:jc w:val="both"/>
        <w:rPr>
          <w:rStyle w:val="longtext"/>
          <w:sz w:val="22"/>
          <w:szCs w:val="22"/>
          <w:lang w:eastAsia="en-US"/>
        </w:rPr>
      </w:pPr>
      <w:r w:rsidRPr="001D7573">
        <w:rPr>
          <w:rFonts w:ascii="Arial" w:hAnsi="Arial" w:cs="Arial"/>
          <w:noProof/>
          <w:sz w:val="22"/>
          <w:szCs w:val="22"/>
        </w:rPr>
        <w:lastRenderedPageBreak/>
        <w:pict>
          <v:shape id="_x0000_s1096" type="#_x0000_t202" style="position:absolute;left:0;text-align:left;margin-left:216.3pt;margin-top:251.1pt;width:31.8pt;height:21pt;z-index:251723776;mso-height-percent:200;mso-height-percent:200;mso-width-relative:margin;mso-height-relative:margin" fillcolor="white [3212]" stroked="f">
            <v:textbox style="mso-next-textbox:#_x0000_s1096;mso-fit-shape-to-text:t">
              <w:txbxContent>
                <w:p w:rsidR="00AC7D7B" w:rsidRDefault="00AC7D7B" w:rsidP="006F39C3">
                  <w:r>
                    <w:t>49</w:t>
                  </w:r>
                </w:p>
              </w:txbxContent>
            </v:textbox>
          </v:shape>
        </w:pict>
      </w:r>
      <w:r w:rsidR="00197AA0" w:rsidRPr="00201277">
        <w:rPr>
          <w:rFonts w:ascii="Arial" w:hAnsi="Arial" w:cs="Arial"/>
          <w:sz w:val="22"/>
          <w:szCs w:val="22"/>
        </w:rPr>
        <w:t>Resulta trascendental mencionar que  uno de los factores que han provocado la mayoría de los accidentes, han sido las malas condiciones o el mal estado en que se han encontrado la mayoría de los buques y es de acuerdo a estos acontecimientos que el Comité de Seguridad Marítima (CSM) de la OMI, adoptó el 20 de mayo de 2010 históricos reglamentos de construcción de buques, los cuales consisten en l</w:t>
      </w:r>
      <w:r w:rsidR="00197AA0" w:rsidRPr="00201277">
        <w:rPr>
          <w:rStyle w:val="longtext"/>
          <w:rFonts w:ascii="Arial" w:hAnsi="Arial" w:cs="Arial"/>
          <w:sz w:val="22"/>
          <w:szCs w:val="22"/>
        </w:rPr>
        <w:t>a adopción de las denominadas Normas Basadas en Objetivos</w:t>
      </w:r>
      <w:r w:rsidR="00197AA0" w:rsidRPr="00201277">
        <w:rPr>
          <w:rStyle w:val="Refdenotaalpie"/>
          <w:rFonts w:ascii="Arial" w:hAnsi="Arial" w:cs="Arial"/>
          <w:sz w:val="22"/>
          <w:szCs w:val="22"/>
        </w:rPr>
        <w:footnoteReference w:customMarkFollows="1" w:id="99"/>
        <w:sym w:font="Symbol" w:char="F02A"/>
      </w:r>
      <w:r w:rsidR="00197AA0" w:rsidRPr="00201277">
        <w:rPr>
          <w:rStyle w:val="longtext"/>
          <w:rFonts w:ascii="Arial" w:hAnsi="Arial" w:cs="Arial"/>
          <w:sz w:val="22"/>
          <w:szCs w:val="22"/>
        </w:rPr>
        <w:t xml:space="preserve"> para los petroleros y graneleros por el CSM, lo cual significa que los buques de nueva construcción de este tipo tendrán que cumplir con las normas estructurales conforme a </w:t>
      </w:r>
      <w:r w:rsidR="00197AA0" w:rsidRPr="00201277">
        <w:rPr>
          <w:rStyle w:val="longtext"/>
          <w:rFonts w:ascii="Arial" w:hAnsi="Arial" w:cs="Arial"/>
          <w:sz w:val="22"/>
          <w:szCs w:val="22"/>
          <w:shd w:val="clear" w:color="auto" w:fill="FFFFFF"/>
        </w:rPr>
        <w:t>requisitos funcionales y acordado por el comité. P</w:t>
      </w:r>
      <w:r w:rsidR="00197AA0" w:rsidRPr="00201277">
        <w:rPr>
          <w:rStyle w:val="longtext"/>
          <w:rFonts w:ascii="Arial" w:hAnsi="Arial" w:cs="Arial"/>
          <w:sz w:val="22"/>
          <w:szCs w:val="22"/>
        </w:rPr>
        <w:t>or primera vez en su historia, la OMI establecerá las normas de construcción de buques.</w:t>
      </w:r>
    </w:p>
    <w:p w:rsidR="00197AA0" w:rsidRPr="00201277" w:rsidRDefault="00197AA0" w:rsidP="00232C32">
      <w:pPr>
        <w:autoSpaceDE w:val="0"/>
        <w:autoSpaceDN w:val="0"/>
        <w:adjustRightInd w:val="0"/>
        <w:spacing w:line="360" w:lineRule="auto"/>
        <w:ind w:right="44" w:firstLine="567"/>
        <w:jc w:val="both"/>
        <w:rPr>
          <w:rStyle w:val="longtext"/>
          <w:rFonts w:ascii="Arial" w:hAnsi="Arial" w:cs="Arial"/>
          <w:sz w:val="22"/>
          <w:szCs w:val="22"/>
        </w:rPr>
      </w:pPr>
    </w:p>
    <w:p w:rsidR="00197AA0" w:rsidRPr="00201277" w:rsidRDefault="00197AA0" w:rsidP="00232C32">
      <w:pPr>
        <w:autoSpaceDE w:val="0"/>
        <w:autoSpaceDN w:val="0"/>
        <w:adjustRightInd w:val="0"/>
        <w:spacing w:line="360" w:lineRule="auto"/>
        <w:ind w:right="44" w:firstLine="567"/>
        <w:jc w:val="both"/>
        <w:rPr>
          <w:sz w:val="22"/>
          <w:szCs w:val="22"/>
        </w:rPr>
      </w:pPr>
      <w:r w:rsidRPr="00201277">
        <w:rPr>
          <w:rStyle w:val="longtext"/>
          <w:rFonts w:ascii="Arial" w:hAnsi="Arial" w:cs="Arial"/>
          <w:sz w:val="22"/>
          <w:szCs w:val="22"/>
        </w:rPr>
        <w:t xml:space="preserve">El Comité también aprobó las directrices que, igualmente, por primera vez, brinda a la Organización un papel en la verificación del cumplimiento de los requisitos de SOLAS. Estas directrices establecen los procedimientos que deben seguirse a fin de verificar que las reglas de diseño y construcción de una administración o de una reconocida organización para cargas a granel o tanques petroleros conforme a lo adoptado por las normas basadas en objetivos. </w:t>
      </w:r>
      <w:r w:rsidRPr="00201277">
        <w:rPr>
          <w:rStyle w:val="longtext"/>
          <w:rFonts w:ascii="Arial" w:hAnsi="Arial" w:cs="Arial"/>
          <w:sz w:val="22"/>
          <w:szCs w:val="22"/>
          <w:shd w:val="clear" w:color="auto" w:fill="FFFFFF"/>
        </w:rPr>
        <w:t xml:space="preserve">El proceso de verificación consiste en dos elementos principales: la autoevaluación de las normas por parte de la entidad que presenta a la OMI para la verificación, seguido de una auditoría, que se llevará a cabo por expertos designados por la organización de las normas, la autoevaluación y la </w:t>
      </w:r>
      <w:r w:rsidRPr="00201277">
        <w:rPr>
          <w:rStyle w:val="longtext"/>
          <w:rFonts w:ascii="Arial" w:hAnsi="Arial" w:cs="Arial"/>
          <w:sz w:val="22"/>
          <w:szCs w:val="22"/>
        </w:rPr>
        <w:t>documentación de apoyo</w:t>
      </w:r>
      <w:r w:rsidRPr="00201277">
        <w:rPr>
          <w:rStyle w:val="Refdenotaalpie"/>
          <w:rFonts w:ascii="Arial" w:hAnsi="Arial" w:cs="Arial"/>
          <w:sz w:val="22"/>
          <w:szCs w:val="22"/>
        </w:rPr>
        <w:footnoteReference w:id="100"/>
      </w:r>
      <w:r w:rsidRPr="00201277">
        <w:rPr>
          <w:rStyle w:val="longtext"/>
          <w:rFonts w:ascii="Arial" w:hAnsi="Arial" w:cs="Arial"/>
          <w:sz w:val="22"/>
          <w:szCs w:val="22"/>
        </w:rPr>
        <w:t>.</w:t>
      </w: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rPr>
      </w:pPr>
    </w:p>
    <w:p w:rsidR="00197AA0" w:rsidRPr="00201277" w:rsidRDefault="00197AA0" w:rsidP="00232C32">
      <w:pPr>
        <w:autoSpaceDE w:val="0"/>
        <w:autoSpaceDN w:val="0"/>
        <w:adjustRightInd w:val="0"/>
        <w:spacing w:line="360" w:lineRule="auto"/>
        <w:ind w:right="44" w:firstLine="567"/>
        <w:jc w:val="both"/>
        <w:rPr>
          <w:rFonts w:ascii="Arial" w:hAnsi="Arial" w:cs="Arial"/>
          <w:sz w:val="22"/>
          <w:szCs w:val="22"/>
        </w:rPr>
      </w:pPr>
      <w:r w:rsidRPr="00201277">
        <w:rPr>
          <w:rFonts w:ascii="Arial" w:hAnsi="Arial" w:cs="Arial"/>
          <w:sz w:val="22"/>
          <w:szCs w:val="22"/>
        </w:rPr>
        <w:t xml:space="preserve">También es importante aclarar, que con respecto a la legislación marítima internacional, se puede plantear que en la actualidad se ha tenido una constante evolución que se ha venido acoplando a los diversos escenarios que presenta la realidad, a manera de ejemplo se puede mencionar que el  convenio FONDO de 1971 dejó de estar en vigor el 24 de mayo de 2002, por considerársele que ya contenía aspectos que no resultaban una garantía fundamental para brindar una mayor seguridad en los espacios marítimos internacionales. A pesar que actualmente la legislación marítima internacional se ha fortalecido en gran medida como ya se mencionó en este breve apartado, aún existen diversas debilidades en este marco regulatorio que faciliten o </w:t>
      </w:r>
      <w:r w:rsidRPr="00201277">
        <w:rPr>
          <w:rFonts w:ascii="Arial" w:hAnsi="Arial" w:cs="Arial"/>
          <w:sz w:val="22"/>
          <w:szCs w:val="22"/>
        </w:rPr>
        <w:lastRenderedPageBreak/>
        <w:t xml:space="preserve">incrementen las posibilidades de riesgos de nuevos accidentes, tales fueron los casos de los buques que anteriormente se describieron y que terminaron de confirmar que aún existen vacíos de ley, que hay que fortalecer todavía para mejorar más la legislación marítima internacional. </w:t>
      </w:r>
    </w:p>
    <w:p w:rsidR="00197AA0" w:rsidRPr="00201277" w:rsidRDefault="00197AA0" w:rsidP="00232C32">
      <w:pPr>
        <w:autoSpaceDE w:val="0"/>
        <w:autoSpaceDN w:val="0"/>
        <w:adjustRightInd w:val="0"/>
        <w:spacing w:line="360" w:lineRule="auto"/>
        <w:ind w:right="44"/>
        <w:jc w:val="both"/>
        <w:rPr>
          <w:rFonts w:ascii="Arial" w:hAnsi="Arial" w:cs="Arial"/>
          <w:sz w:val="22"/>
          <w:szCs w:val="22"/>
        </w:rPr>
      </w:pPr>
    </w:p>
    <w:p w:rsidR="00197AA0" w:rsidRPr="00201277" w:rsidRDefault="00197AA0" w:rsidP="00232C32">
      <w:pPr>
        <w:autoSpaceDE w:val="0"/>
        <w:autoSpaceDN w:val="0"/>
        <w:adjustRightInd w:val="0"/>
        <w:spacing w:line="360" w:lineRule="auto"/>
        <w:ind w:right="44"/>
        <w:jc w:val="both"/>
        <w:rPr>
          <w:rFonts w:ascii="Arial" w:hAnsi="Arial" w:cs="Arial"/>
          <w:sz w:val="22"/>
          <w:szCs w:val="22"/>
        </w:rPr>
      </w:pPr>
    </w:p>
    <w:p w:rsidR="00197AA0" w:rsidRPr="00201277" w:rsidRDefault="00197AA0" w:rsidP="00232C32">
      <w:pPr>
        <w:numPr>
          <w:ilvl w:val="1"/>
          <w:numId w:val="13"/>
        </w:numPr>
        <w:spacing w:after="200" w:line="360" w:lineRule="auto"/>
        <w:ind w:right="44"/>
        <w:jc w:val="both"/>
        <w:rPr>
          <w:rFonts w:ascii="Arial" w:hAnsi="Arial" w:cs="Arial"/>
          <w:b/>
          <w:sz w:val="22"/>
          <w:szCs w:val="22"/>
          <w:lang w:eastAsia="es-SV"/>
        </w:rPr>
      </w:pPr>
      <w:r w:rsidRPr="00201277">
        <w:rPr>
          <w:rFonts w:ascii="Arial" w:hAnsi="Arial" w:cs="Arial"/>
          <w:b/>
          <w:sz w:val="22"/>
          <w:szCs w:val="22"/>
          <w:lang w:eastAsia="es-SV"/>
        </w:rPr>
        <w:t>Conclusión</w:t>
      </w:r>
    </w:p>
    <w:p w:rsidR="00197AA0" w:rsidRPr="00201277" w:rsidRDefault="001D7573" w:rsidP="00232C32">
      <w:pPr>
        <w:pStyle w:val="NormalWeb"/>
        <w:spacing w:line="360" w:lineRule="auto"/>
        <w:ind w:right="44" w:firstLine="567"/>
        <w:jc w:val="both"/>
        <w:rPr>
          <w:rFonts w:ascii="Arial" w:hAnsi="Arial" w:cs="Arial"/>
          <w:sz w:val="22"/>
          <w:szCs w:val="22"/>
          <w:lang w:eastAsia="es-ES"/>
        </w:rPr>
      </w:pPr>
      <w:r>
        <w:rPr>
          <w:rFonts w:ascii="Arial" w:hAnsi="Arial" w:cs="Arial"/>
          <w:noProof/>
          <w:sz w:val="22"/>
          <w:szCs w:val="22"/>
        </w:rPr>
        <w:pict>
          <v:shape id="_x0000_s1097" type="#_x0000_t202" style="position:absolute;left:0;text-align:left;margin-left:198.15pt;margin-top:119.9pt;width:31.8pt;height:21pt;z-index:251724800;mso-height-percent:200;mso-height-percent:200;mso-width-relative:margin;mso-height-relative:margin" fillcolor="white [3212]" stroked="f">
            <v:textbox style="mso-next-textbox:#_x0000_s1097;mso-fit-shape-to-text:t">
              <w:txbxContent>
                <w:p w:rsidR="00AC7D7B" w:rsidRDefault="00AC7D7B" w:rsidP="006F39C3">
                  <w:r>
                    <w:t>50</w:t>
                  </w:r>
                </w:p>
              </w:txbxContent>
            </v:textbox>
          </v:shape>
        </w:pict>
      </w:r>
      <w:r w:rsidR="00197AA0" w:rsidRPr="00201277">
        <w:rPr>
          <w:rFonts w:ascii="Arial" w:hAnsi="Arial" w:cs="Arial"/>
          <w:sz w:val="22"/>
          <w:szCs w:val="22"/>
        </w:rPr>
        <w:t xml:space="preserve">Tras todos los desastres marítimos que se han suscitado a lo largo del tiempo, es importante concluir en el esfuerzo que se ha hecho por parte de la comunidad internacional y organismos en intentar paliar nuevos desastres en el futuro bajo las mismas características que presentaron los casos que anteriormente se describieron, ya que resulta bastante interesante y controversial resaltar el hecho de que todos los buques utilizaron banderas de conveniencia así como también contaban con una construcción de un solo casco, lo que se conoce como monocasco, aunado al mal estado en el que se encontraban muchos de ellos, que fue la condición para que dichos buques naufragaran.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Ante esta breve descripción es importante destacar que la Regulación Marítima Internacional ha venido teniendo una paulatina evolución ante los accidentes por petróleo más emblemáticos que se han suscitado a lo largo de la historia, ya que desde la creación de la OMI, (que es un organismo especializado en promover la cooperación entre los Estados y mejorar la seguridad marítima para prevenir la contaminación) se ha venido creando un amplio marco legal con la creación de importantes convenios y tratados tales como el Convenio MARPOL, Convenio SOLAS, FONDO, entre otros, que han venido acoplándose al auge que ha tenido el comercio marítimo como la vía de transporte más importante del mundo.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Pero ante este escenario también es importante mencionar que si bien es cierto se ha creado una amplia gama de mecanismos para reducir los accidentes por hidrocarburo se denota una gran fragilidad que aún existe en el derecho marítimo ya que continuamente en la actualidad surgen nuevas catástrofes como es el caso del buque Shen Neng 1, caso en el cual se puede denotar la carencia de mecanismos o normas más eficaces u obligatorias que establezcan la prohibición de la navegación de buques monocascos, con banderas de conveniencias y aquellos que naveguen en mal estado, también se denota la falta de exigencias reales a aquellas empresas de clasificación </w:t>
      </w:r>
      <w:r w:rsidRPr="00201277">
        <w:rPr>
          <w:rFonts w:ascii="Arial" w:hAnsi="Arial" w:cs="Arial"/>
          <w:sz w:val="22"/>
          <w:szCs w:val="22"/>
        </w:rPr>
        <w:lastRenderedPageBreak/>
        <w:t xml:space="preserve">encargadas de inspeccionar los buques, ya que muchas de ellas no realizan las correspondientes inspecciones que deberían de realizarse por ciertas preferencias que se  tienen con los dueños de los buques, ante esto especialmente la Unión Europea ha creado esfuerzos para reforzar las inspecciones a petroleros, y en particular su estructura pero en la actualidad aún no se han implementado del todo, lo que refleja la fragilidad del derecho marítimo. </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rPr>
        <w:pict>
          <v:shape id="_x0000_s1098" type="#_x0000_t202" style="position:absolute;left:0;text-align:left;margin-left:213.85pt;margin-top:96.3pt;width:31.8pt;height:21pt;z-index:251725824;mso-height-percent:200;mso-height-percent:200;mso-width-relative:margin;mso-height-relative:margin" fillcolor="white [3212]" stroked="f">
            <v:textbox style="mso-next-textbox:#_x0000_s1098;mso-fit-shape-to-text:t">
              <w:txbxContent>
                <w:p w:rsidR="00AC7D7B" w:rsidRDefault="00AC7D7B" w:rsidP="006F39C3">
                  <w:r>
                    <w:t>51</w:t>
                  </w:r>
                </w:p>
              </w:txbxContent>
            </v:textbox>
          </v:shape>
        </w:pict>
      </w:r>
      <w:r w:rsidR="00197AA0" w:rsidRPr="00201277">
        <w:rPr>
          <w:rFonts w:ascii="Arial" w:hAnsi="Arial" w:cs="Arial"/>
          <w:sz w:val="22"/>
          <w:szCs w:val="22"/>
        </w:rPr>
        <w:t xml:space="preserve">Así mismo resulta bastante interesante el hecho de que la disposición del doble casco en los buques, no resulte la solución perfecta para prevenir todos los accidentes marítimos, pero si supone una protección en caso de colisiones o varadas de menor intensidad, cuestión que aún no se ha tomado en cuenta en la práctica ya que en el caso de los buques que se describieron en este capítulo no contaban con esta disposición y habría que notar si esta misma se incluirá en futuros accidentes por petróleo ya que a pesar que se ha propuesto en innumerables normas legales la obligatoriedad del doble casco, aún no se ha puesto en la práctica como anteriormente se menciona, ante esto se espera que a partir del año 2010 se vetará y se impondrá obligatoriamente el doble casco a los petroleros de casco sencillo, fecha que se prolongará hasta  el 2015, donde se revelará  la evolución en la regulación marítima con la imposición de esta medida ya que en años anteriores no se había tomado en cuenta con el nivel de obligatoriedad con el que se está tomando en la actualidad, esto  para así  reducir verdaderamente los miles de casos de derrame por hidrocarburos, ya que también es una paradoja que aún no existan mejores métodos para contener el petróleo en el mar y recogerlo con éxito, cuestión que se espera que se tome en cuenta también con más obligatoriedad dentro del derecho marítimo.  </w:t>
      </w:r>
    </w:p>
    <w:p w:rsidR="00197AA0" w:rsidRDefault="00197AA0" w:rsidP="00232C32">
      <w:pPr>
        <w:pStyle w:val="NormalWeb"/>
        <w:spacing w:line="360" w:lineRule="auto"/>
        <w:ind w:right="44" w:firstLine="567"/>
        <w:jc w:val="both"/>
        <w:rPr>
          <w:rFonts w:ascii="Arial" w:hAnsi="Arial" w:cs="Arial"/>
          <w:sz w:val="22"/>
          <w:szCs w:val="22"/>
        </w:rPr>
      </w:pPr>
    </w:p>
    <w:p w:rsidR="00663A0A" w:rsidRDefault="00663A0A" w:rsidP="00232C32">
      <w:pPr>
        <w:pStyle w:val="NormalWeb"/>
        <w:spacing w:line="360" w:lineRule="auto"/>
        <w:ind w:right="44" w:firstLine="567"/>
        <w:jc w:val="both"/>
        <w:rPr>
          <w:rFonts w:ascii="Arial" w:hAnsi="Arial" w:cs="Arial"/>
          <w:sz w:val="22"/>
          <w:szCs w:val="22"/>
        </w:rPr>
      </w:pPr>
    </w:p>
    <w:p w:rsidR="00663A0A" w:rsidRDefault="00663A0A" w:rsidP="00232C32">
      <w:pPr>
        <w:pStyle w:val="NormalWeb"/>
        <w:spacing w:line="360" w:lineRule="auto"/>
        <w:ind w:right="44" w:firstLine="567"/>
        <w:jc w:val="both"/>
        <w:rPr>
          <w:rFonts w:ascii="Arial" w:hAnsi="Arial" w:cs="Arial"/>
          <w:sz w:val="22"/>
          <w:szCs w:val="22"/>
        </w:rPr>
      </w:pPr>
    </w:p>
    <w:p w:rsidR="00663A0A" w:rsidRDefault="00663A0A" w:rsidP="00232C32">
      <w:pPr>
        <w:pStyle w:val="NormalWeb"/>
        <w:spacing w:line="360" w:lineRule="auto"/>
        <w:ind w:right="44" w:firstLine="567"/>
        <w:jc w:val="both"/>
        <w:rPr>
          <w:rFonts w:ascii="Arial" w:hAnsi="Arial" w:cs="Arial"/>
          <w:sz w:val="22"/>
          <w:szCs w:val="22"/>
        </w:rPr>
      </w:pPr>
    </w:p>
    <w:p w:rsidR="00663A0A" w:rsidRDefault="00663A0A" w:rsidP="00232C32">
      <w:pPr>
        <w:pStyle w:val="NormalWeb"/>
        <w:spacing w:line="360" w:lineRule="auto"/>
        <w:ind w:right="44" w:firstLine="567"/>
        <w:jc w:val="both"/>
        <w:rPr>
          <w:rFonts w:ascii="Arial" w:hAnsi="Arial" w:cs="Arial"/>
          <w:sz w:val="22"/>
          <w:szCs w:val="22"/>
        </w:rPr>
      </w:pPr>
    </w:p>
    <w:p w:rsidR="00663A0A" w:rsidRDefault="00663A0A" w:rsidP="00232C32">
      <w:pPr>
        <w:pStyle w:val="NormalWeb"/>
        <w:spacing w:line="360" w:lineRule="auto"/>
        <w:ind w:right="44" w:firstLine="567"/>
        <w:jc w:val="both"/>
        <w:rPr>
          <w:rFonts w:ascii="Arial" w:hAnsi="Arial" w:cs="Arial"/>
          <w:sz w:val="22"/>
          <w:szCs w:val="22"/>
        </w:rPr>
      </w:pPr>
    </w:p>
    <w:p w:rsidR="00663A0A" w:rsidRDefault="00663A0A" w:rsidP="00232C32">
      <w:pPr>
        <w:pStyle w:val="NormalWeb"/>
        <w:spacing w:line="360" w:lineRule="auto"/>
        <w:ind w:right="44" w:firstLine="567"/>
        <w:jc w:val="both"/>
        <w:rPr>
          <w:rFonts w:ascii="Arial" w:hAnsi="Arial" w:cs="Arial"/>
          <w:sz w:val="22"/>
          <w:szCs w:val="22"/>
        </w:rPr>
      </w:pPr>
    </w:p>
    <w:p w:rsidR="00663A0A" w:rsidRDefault="00663A0A" w:rsidP="00232C32">
      <w:pPr>
        <w:pStyle w:val="NormalWeb"/>
        <w:spacing w:line="360" w:lineRule="auto"/>
        <w:ind w:right="44" w:firstLine="567"/>
        <w:jc w:val="both"/>
        <w:rPr>
          <w:rFonts w:ascii="Arial" w:hAnsi="Arial" w:cs="Arial"/>
          <w:sz w:val="22"/>
          <w:szCs w:val="22"/>
        </w:rPr>
      </w:pPr>
    </w:p>
    <w:p w:rsidR="00663A0A" w:rsidRDefault="00663A0A" w:rsidP="00232C32">
      <w:pPr>
        <w:pStyle w:val="NormalWeb"/>
        <w:spacing w:line="360" w:lineRule="auto"/>
        <w:ind w:right="44" w:firstLine="567"/>
        <w:jc w:val="both"/>
        <w:rPr>
          <w:rFonts w:ascii="Arial" w:hAnsi="Arial" w:cs="Arial"/>
          <w:sz w:val="22"/>
          <w:szCs w:val="22"/>
        </w:rPr>
      </w:pPr>
    </w:p>
    <w:p w:rsidR="00197AA0" w:rsidRDefault="00197AA0" w:rsidP="00232C32">
      <w:pPr>
        <w:pStyle w:val="NormalWeb"/>
        <w:spacing w:line="360" w:lineRule="auto"/>
        <w:ind w:right="44" w:firstLine="567"/>
        <w:jc w:val="both"/>
        <w:rPr>
          <w:rFonts w:ascii="Arial" w:hAnsi="Arial" w:cs="Arial"/>
          <w:sz w:val="22"/>
          <w:szCs w:val="22"/>
        </w:rPr>
      </w:pPr>
    </w:p>
    <w:p w:rsidR="00197AA0"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rPr>
        <w:pict>
          <v:shape id="_x0000_s1099" type="#_x0000_t202" style="position:absolute;left:0;text-align:left;margin-left:166.35pt;margin-top:65.95pt;width:31.8pt;height:21pt;z-index:251726848;mso-height-percent:200;mso-height-percent:200;mso-width-relative:margin;mso-height-relative:margin" fillcolor="white [3212]" stroked="f">
            <v:textbox style="mso-next-textbox:#_x0000_s1099;mso-fit-shape-to-text:t">
              <w:txbxContent>
                <w:p w:rsidR="00AC7D7B" w:rsidRDefault="00AC7D7B" w:rsidP="006F39C3">
                  <w:r>
                    <w:t>52</w:t>
                  </w:r>
                </w:p>
              </w:txbxContent>
            </v:textbox>
          </v:shape>
        </w:pict>
      </w: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CAPITULO II: EL DESARROLLO PORTUARIO DE EL SALVADOR EN LA ZONA DEL GOLFO DE FONSECA</w:t>
      </w:r>
    </w:p>
    <w:p w:rsidR="00197AA0" w:rsidRPr="00201277" w:rsidRDefault="00197AA0" w:rsidP="00232C32">
      <w:pPr>
        <w:spacing w:line="360" w:lineRule="auto"/>
        <w:ind w:right="44"/>
        <w:jc w:val="both"/>
        <w:rPr>
          <w:rFonts w:ascii="Arial" w:hAnsi="Arial" w:cs="Arial"/>
          <w:b/>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A lo largo de la historia, El Salvador ha buscado satisfacer las necesidades como país, con el comercio extranjero, esto con el objetivo de estimular el crecimiento económico de los diferentes sectores del país, de esta manera se ha dado paso con el tiempo a un mayor impulso de un desarrollo portuario en El Salvador adecuándose a las exigencias del comercio exterior y al mismo tiempo fortaleciendo los puertos como una plataforma de logística</w:t>
      </w:r>
      <w:r w:rsidRPr="00201277">
        <w:rPr>
          <w:rStyle w:val="Refdenotaalpie"/>
          <w:rFonts w:ascii="Arial" w:hAnsi="Arial" w:cs="Arial"/>
          <w:sz w:val="22"/>
          <w:szCs w:val="22"/>
        </w:rPr>
        <w:footnoteReference w:customMarkFollows="1" w:id="101"/>
        <w:sym w:font="Symbol" w:char="F02A"/>
      </w:r>
      <w:r w:rsidRPr="00201277">
        <w:rPr>
          <w:rFonts w:ascii="Arial" w:hAnsi="Arial" w:cs="Arial"/>
          <w:sz w:val="22"/>
          <w:szCs w:val="22"/>
        </w:rPr>
        <w:t xml:space="preserve"> regional y además convirtiéndolos en una fuente estratégica de desarrollo, ya que se ha pretendido lanzar dichos puertos con el objetivo de crear un marco favorable para la población salvadoreña y que este impulso portuario traiga consigo una serie de factores como lo son fuentes de empleo e ingresos económicos que se esperan para el país.</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00" type="#_x0000_t202" style="position:absolute;left:0;text-align:left;margin-left:210.35pt;margin-top:407.5pt;width:31.8pt;height:21pt;z-index:251727872;mso-height-percent:200;mso-height-percent:200;mso-width-relative:margin;mso-height-relative:margin" fillcolor="white [3212]" stroked="f">
            <v:textbox style="mso-next-textbox:#_x0000_s1100;mso-fit-shape-to-text:t">
              <w:txbxContent>
                <w:p w:rsidR="00AC7D7B" w:rsidRDefault="00AC7D7B" w:rsidP="006F39C3">
                  <w:r>
                    <w:t>53</w:t>
                  </w:r>
                </w:p>
              </w:txbxContent>
            </v:textbox>
          </v:shape>
        </w:pict>
      </w:r>
      <w:r w:rsidR="00197AA0" w:rsidRPr="00201277">
        <w:rPr>
          <w:rFonts w:ascii="Arial" w:hAnsi="Arial" w:cs="Arial"/>
          <w:sz w:val="22"/>
          <w:szCs w:val="22"/>
        </w:rPr>
        <w:t xml:space="preserve">Es importante destacar que la construcción de este tipo de infraestructuras es una manera de facilitar  la movilización de las mercancías, ya que la mayoría de ellas es transitada por vía marítima, de ahí que, en el presente capítulo, es necesario profundizar el tema del desarrollo portuario que se está actualmente suscitando en El Salvador, específicamente en la zona del Golfo de Fonseca, sin dejar de lado la importancia de los </w:t>
      </w:r>
      <w:r w:rsidR="00197AA0" w:rsidRPr="00201277">
        <w:rPr>
          <w:rFonts w:ascii="Arial" w:hAnsi="Arial" w:cs="Arial"/>
          <w:sz w:val="22"/>
          <w:szCs w:val="22"/>
        </w:rPr>
        <w:lastRenderedPageBreak/>
        <w:t>puertos que han funcionado desde años anteriores hasta la actualidad. Así mismo dentro del presente capítulo se desarrollará a manera de introducción un esbozo de la historia de la actividad portuaria en El Salvador, destacando algunos de los puertos más importantes del país como lo son el Puerto de Acajutla, el Puerto de la Unión, así como también se abordará el estado actual de la legislación marítima salvadoreña, los convenios a los que se ha adherido El Salvador, y finalmente como parte fundamental se desarrollarán los roles de las instituciones del gobierno central competentes en esta materia, tales como la AMP, y CEPA, que han venido jugando un papel importante dentro de todo este marco referido al desarrollo portuario.</w:t>
      </w: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2.1 Generalidades sobre Puertos</w:t>
      </w:r>
    </w:p>
    <w:p w:rsidR="00197AA0" w:rsidRDefault="00197AA0" w:rsidP="00232C32">
      <w:pPr>
        <w:spacing w:line="360" w:lineRule="auto"/>
        <w:ind w:right="44"/>
        <w:jc w:val="both"/>
        <w:rPr>
          <w:rFonts w:ascii="Arial" w:hAnsi="Arial" w:cs="Arial"/>
          <w:iCs/>
          <w:sz w:val="22"/>
          <w:szCs w:val="22"/>
          <w:lang w:val="es-SV"/>
        </w:rPr>
      </w:pPr>
      <w:r w:rsidRPr="00201277">
        <w:rPr>
          <w:rFonts w:ascii="Arial" w:hAnsi="Arial" w:cs="Arial"/>
          <w:b/>
          <w:sz w:val="22"/>
          <w:szCs w:val="22"/>
        </w:rPr>
        <w:t xml:space="preserve"> </w:t>
      </w:r>
      <w:r w:rsidRPr="00201277">
        <w:rPr>
          <w:rFonts w:ascii="Arial" w:hAnsi="Arial" w:cs="Arial"/>
          <w:sz w:val="22"/>
          <w:szCs w:val="22"/>
          <w:lang w:val="es-SV"/>
        </w:rPr>
        <w:t xml:space="preserve">El Diccionario de la lengua de la Real Academia Española define puerto como </w:t>
      </w:r>
      <w:r w:rsidRPr="00201277">
        <w:rPr>
          <w:rFonts w:ascii="Arial" w:hAnsi="Arial" w:cs="Arial"/>
          <w:i/>
          <w:iCs/>
          <w:sz w:val="22"/>
          <w:szCs w:val="22"/>
          <w:lang w:val="es-SV"/>
        </w:rPr>
        <w:t>el lugar natural construido en la costa o en las orillas de un río, defendido de los vientos y dispuesto para detenerse las embarcaciones y para realizar las operaciones de carga y descarga de mercancías, embarque y desembarco de pasajeros, etcétera</w:t>
      </w:r>
      <w:r w:rsidRPr="00201277">
        <w:rPr>
          <w:rStyle w:val="Refdenotaalpie"/>
          <w:rFonts w:ascii="Arial" w:hAnsi="Arial" w:cs="Arial"/>
          <w:iCs/>
          <w:sz w:val="22"/>
          <w:szCs w:val="22"/>
          <w:lang w:val="es-SV"/>
        </w:rPr>
        <w:footnoteReference w:id="102"/>
      </w:r>
      <w:r w:rsidRPr="00201277">
        <w:rPr>
          <w:rFonts w:ascii="Arial" w:hAnsi="Arial" w:cs="Arial"/>
          <w:iCs/>
          <w:sz w:val="22"/>
          <w:szCs w:val="22"/>
          <w:lang w:val="es-SV"/>
        </w:rPr>
        <w:t>.</w:t>
      </w:r>
    </w:p>
    <w:p w:rsidR="00197AA0" w:rsidRPr="00201277" w:rsidRDefault="00197AA0" w:rsidP="00232C32">
      <w:pPr>
        <w:spacing w:line="360" w:lineRule="auto"/>
        <w:ind w:right="44"/>
        <w:jc w:val="both"/>
        <w:rPr>
          <w:rFonts w:ascii="Arial" w:hAnsi="Arial" w:cs="Arial"/>
          <w:sz w:val="22"/>
          <w:szCs w:val="22"/>
          <w:lang w:val="es-SV"/>
        </w:rPr>
      </w:pPr>
    </w:p>
    <w:p w:rsidR="00197AA0"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Así mismo, la Unión Europea define un puerto como “</w:t>
      </w:r>
      <w:r w:rsidRPr="00201277">
        <w:rPr>
          <w:rFonts w:ascii="Arial" w:hAnsi="Arial" w:cs="Arial"/>
          <w:iCs/>
          <w:sz w:val="22"/>
          <w:szCs w:val="22"/>
          <w:lang w:val="es-SV"/>
        </w:rPr>
        <w:t>una zona de tierra y agua dotada de obras y equipo que permitan principalmente la recepción de buques, su carga, descarga, almacenamiento, recepción y entrega de mercancías, así como el embarco y desembarco de pasajeros</w:t>
      </w:r>
      <w:r w:rsidRPr="00201277">
        <w:rPr>
          <w:rStyle w:val="Refdenotaalpie"/>
          <w:rFonts w:ascii="Arial" w:hAnsi="Arial" w:cs="Arial"/>
          <w:iCs/>
          <w:sz w:val="22"/>
          <w:szCs w:val="22"/>
          <w:lang w:val="es-SV"/>
        </w:rPr>
        <w:footnoteReference w:id="103"/>
      </w:r>
      <w:r w:rsidRPr="00201277">
        <w:rPr>
          <w:rFonts w:ascii="Arial" w:hAnsi="Arial" w:cs="Arial"/>
          <w:sz w:val="22"/>
          <w:szCs w:val="22"/>
          <w:lang w:val="es-SV"/>
        </w:rPr>
        <w:t>.</w:t>
      </w:r>
    </w:p>
    <w:p w:rsidR="00197AA0" w:rsidRPr="00201277" w:rsidRDefault="00197AA0" w:rsidP="00232C32">
      <w:pPr>
        <w:autoSpaceDE w:val="0"/>
        <w:spacing w:line="360" w:lineRule="auto"/>
        <w:ind w:right="44" w:firstLine="567"/>
        <w:jc w:val="both"/>
        <w:rPr>
          <w:rFonts w:ascii="Arial" w:hAnsi="Arial" w:cs="Arial"/>
          <w:sz w:val="22"/>
          <w:szCs w:val="22"/>
          <w:lang w:val="es-SV"/>
        </w:rPr>
      </w:pPr>
    </w:p>
    <w:p w:rsidR="00197AA0"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Esta zona de tierra y agua incluye la infraestructura necesaria como obras de abrigo y muelles; así como una superestructura que son construcciones fijas ubicadas sobre la infraestructura tales como almacenes, silos, tinglados; equipamiento fijo y móvil necesario para la operativa como tuberías de transporte, y grúas. Hoy en día existen un aproximado de 6,000 a 7,000 puertos en todo el mundo pero solo algunos de ellos tienen realmente una importancia significativa en un contexto global concentrando la mayor parte del tráfico marítimo.</w:t>
      </w:r>
    </w:p>
    <w:p w:rsidR="00197AA0" w:rsidRPr="00201277" w:rsidRDefault="00197AA0" w:rsidP="00232C32">
      <w:pPr>
        <w:autoSpaceDE w:val="0"/>
        <w:spacing w:line="360" w:lineRule="auto"/>
        <w:ind w:right="44" w:firstLine="567"/>
        <w:jc w:val="both"/>
        <w:rPr>
          <w:rFonts w:ascii="Arial" w:hAnsi="Arial" w:cs="Arial"/>
          <w:sz w:val="22"/>
          <w:szCs w:val="22"/>
          <w:lang w:val="es-SV"/>
        </w:rPr>
      </w:pPr>
    </w:p>
    <w:p w:rsidR="00197AA0" w:rsidRPr="00201277"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A continuación se presentan dos tablas, en la primera de ella, se detallan los 10 primeros puertos del mundo en tráfico total, medido en millones de toneladas métricas, y en el segundo se detallan los 10 primeros puertos del mundo en tráfico de contenedores medidos en miles de TEU; aunque son datos recopilados en el año 2004, estos </w:t>
      </w:r>
      <w:r w:rsidRPr="00201277">
        <w:rPr>
          <w:rFonts w:ascii="Arial" w:hAnsi="Arial" w:cs="Arial"/>
          <w:sz w:val="22"/>
          <w:szCs w:val="22"/>
          <w:lang w:val="es-SV"/>
        </w:rPr>
        <w:lastRenderedPageBreak/>
        <w:t>representan una idea muy importante para poder conocer cuáles son aquellos puertos que tienen un mayor tráfico marítimo:</w:t>
      </w:r>
    </w:p>
    <w:p w:rsidR="00197AA0" w:rsidRPr="00201277" w:rsidRDefault="00197AA0" w:rsidP="00232C32">
      <w:pPr>
        <w:autoSpaceDE w:val="0"/>
        <w:spacing w:line="360" w:lineRule="auto"/>
        <w:ind w:right="44"/>
        <w:jc w:val="both"/>
        <w:rPr>
          <w:rFonts w:ascii="Arial" w:hAnsi="Arial" w:cs="Arial"/>
          <w:sz w:val="22"/>
          <w:szCs w:val="22"/>
          <w:lang w:val="es-SV"/>
        </w:rPr>
      </w:pPr>
    </w:p>
    <w:p w:rsidR="00197AA0" w:rsidRDefault="00197AA0" w:rsidP="00232C32">
      <w:pPr>
        <w:autoSpaceDE w:val="0"/>
        <w:spacing w:line="360" w:lineRule="auto"/>
        <w:ind w:right="44"/>
        <w:jc w:val="both"/>
        <w:rPr>
          <w:rFonts w:ascii="Arial" w:hAnsi="Arial" w:cs="Arial"/>
          <w:b/>
          <w:sz w:val="22"/>
          <w:szCs w:val="22"/>
          <w:lang w:val="es-SV"/>
        </w:rPr>
      </w:pPr>
      <w:r w:rsidRPr="00201277">
        <w:rPr>
          <w:rFonts w:ascii="Arial" w:hAnsi="Arial" w:cs="Arial"/>
          <w:b/>
          <w:sz w:val="22"/>
          <w:szCs w:val="22"/>
          <w:lang w:val="es-SV"/>
        </w:rPr>
        <w:t>Tabla 2.1 10 primeros puertos del mundo en tráfico total medido en millones de toneladas métricas</w:t>
      </w:r>
    </w:p>
    <w:p w:rsidR="00197AA0" w:rsidRPr="00201277" w:rsidRDefault="00197AA0" w:rsidP="00232C32">
      <w:pPr>
        <w:autoSpaceDE w:val="0"/>
        <w:spacing w:line="360" w:lineRule="auto"/>
        <w:ind w:right="44"/>
        <w:jc w:val="both"/>
        <w:rPr>
          <w:rFonts w:ascii="Arial" w:hAnsi="Arial" w:cs="Arial"/>
          <w:b/>
          <w:sz w:val="22"/>
          <w:szCs w:val="22"/>
          <w:lang w:val="es-SV"/>
        </w:rPr>
      </w:pPr>
    </w:p>
    <w:tbl>
      <w:tblPr>
        <w:tblW w:w="0" w:type="auto"/>
        <w:tblInd w:w="-5" w:type="dxa"/>
        <w:tblLayout w:type="fixed"/>
        <w:tblLook w:val="0000"/>
      </w:tblPr>
      <w:tblGrid>
        <w:gridCol w:w="1384"/>
        <w:gridCol w:w="4378"/>
        <w:gridCol w:w="2892"/>
      </w:tblGrid>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b/>
                <w:sz w:val="18"/>
                <w:szCs w:val="18"/>
                <w:lang w:val="es-SV" w:eastAsia="en-US"/>
              </w:rPr>
            </w:pPr>
            <w:r>
              <w:rPr>
                <w:rFonts w:ascii="Arial" w:hAnsi="Arial" w:cs="Arial"/>
                <w:b/>
                <w:sz w:val="18"/>
                <w:szCs w:val="18"/>
                <w:lang w:val="es-SV"/>
              </w:rPr>
              <w:t>#</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b/>
                <w:sz w:val="18"/>
                <w:szCs w:val="18"/>
                <w:lang w:val="es-SV" w:eastAsia="en-US"/>
              </w:rPr>
            </w:pPr>
            <w:r>
              <w:rPr>
                <w:rFonts w:ascii="Arial" w:hAnsi="Arial" w:cs="Arial"/>
                <w:b/>
                <w:sz w:val="18"/>
                <w:szCs w:val="18"/>
                <w:lang w:val="es-SV"/>
              </w:rPr>
              <w:t>Puerto (País)</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b/>
                <w:bCs/>
                <w:sz w:val="18"/>
                <w:szCs w:val="18"/>
                <w:lang w:val="es-SV" w:eastAsia="en-US"/>
              </w:rPr>
            </w:pPr>
            <w:r>
              <w:rPr>
                <w:rFonts w:ascii="Arial" w:hAnsi="Arial" w:cs="Arial"/>
                <w:b/>
                <w:sz w:val="18"/>
                <w:szCs w:val="18"/>
                <w:lang w:val="es-SV"/>
              </w:rPr>
              <w:t xml:space="preserve">Tm x </w:t>
            </w:r>
            <w:r>
              <w:rPr>
                <w:rFonts w:ascii="Arial" w:hAnsi="Arial" w:cs="Arial"/>
                <w:b/>
                <w:bCs/>
                <w:sz w:val="18"/>
                <w:szCs w:val="18"/>
                <w:lang w:val="es-SV"/>
              </w:rPr>
              <w:t>10(6)</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w:t>
            </w:r>
          </w:p>
        </w:tc>
        <w:tc>
          <w:tcPr>
            <w:tcW w:w="4378" w:type="dxa"/>
            <w:tcBorders>
              <w:top w:val="single" w:sz="4" w:space="0" w:color="000000"/>
              <w:left w:val="single" w:sz="4" w:space="0" w:color="000000"/>
              <w:bottom w:val="single" w:sz="4" w:space="0" w:color="000000"/>
              <w:right w:val="nil"/>
            </w:tcBorders>
          </w:tcPr>
          <w:p w:rsidR="00197AA0" w:rsidRDefault="001D7573">
            <w:pPr>
              <w:autoSpaceDE w:val="0"/>
              <w:snapToGrid w:val="0"/>
              <w:spacing w:after="200" w:line="360" w:lineRule="auto"/>
              <w:ind w:right="44"/>
              <w:jc w:val="center"/>
              <w:rPr>
                <w:rFonts w:ascii="Arial" w:hAnsi="Arial" w:cs="Arial"/>
                <w:sz w:val="18"/>
                <w:szCs w:val="18"/>
                <w:lang w:val="es-SV" w:eastAsia="en-US"/>
              </w:rPr>
            </w:pPr>
            <w:r w:rsidRPr="001D7573">
              <w:rPr>
                <w:rFonts w:ascii="Arial" w:hAnsi="Arial" w:cs="Arial"/>
                <w:noProof/>
                <w:sz w:val="22"/>
                <w:szCs w:val="22"/>
              </w:rPr>
              <w:pict>
                <v:shape id="_x0000_s1101" type="#_x0000_t202" style="position:absolute;left:0;text-align:left;margin-left:108.5pt;margin-top:79.6pt;width:31.8pt;height:21pt;z-index:251728896;mso-height-percent:200;mso-position-horizontal-relative:text;mso-position-vertical-relative:text;mso-height-percent:200;mso-width-relative:margin;mso-height-relative:margin" fillcolor="white [3212]" stroked="f">
                  <v:textbox style="mso-next-textbox:#_x0000_s1101;mso-fit-shape-to-text:t">
                    <w:txbxContent>
                      <w:p w:rsidR="00AC7D7B" w:rsidRDefault="00AC7D7B" w:rsidP="006F39C3">
                        <w:r>
                          <w:t>54</w:t>
                        </w:r>
                      </w:p>
                    </w:txbxContent>
                  </v:textbox>
                </v:shape>
              </w:pict>
            </w:r>
            <w:r w:rsidR="00197AA0">
              <w:rPr>
                <w:rFonts w:ascii="Arial" w:hAnsi="Arial" w:cs="Arial"/>
                <w:sz w:val="18"/>
                <w:szCs w:val="18"/>
                <w:lang w:val="es-SV"/>
              </w:rPr>
              <w:t>Singapur (Singapur)1</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393,4</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2</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Shanghai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379,7</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3</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Rótterdam (Holanda)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352,4</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4</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Ningbó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225,9</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5</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Hong Kong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222,9</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6</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Guangzhou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215,2</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7</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Tianjin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206,2</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8</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Nagoya (Japón)1</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180,0</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9</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Qingdao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162,7</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10</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Amberes (Holanda)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152,3</w:t>
            </w:r>
          </w:p>
        </w:tc>
      </w:tr>
    </w:tbl>
    <w:p w:rsidR="00197AA0" w:rsidRDefault="00197AA0" w:rsidP="00232C32">
      <w:pPr>
        <w:autoSpaceDE w:val="0"/>
        <w:spacing w:line="360" w:lineRule="auto"/>
        <w:ind w:right="44"/>
        <w:jc w:val="both"/>
        <w:rPr>
          <w:rFonts w:ascii="Arial" w:hAnsi="Arial" w:cs="Arial"/>
          <w:sz w:val="18"/>
          <w:szCs w:val="18"/>
          <w:lang w:val="es-SV" w:eastAsia="en-US"/>
        </w:rPr>
      </w:pPr>
      <w:r>
        <w:rPr>
          <w:rFonts w:ascii="Arial" w:hAnsi="Arial" w:cs="Arial"/>
          <w:sz w:val="18"/>
          <w:szCs w:val="18"/>
          <w:lang w:val="es-SV"/>
        </w:rPr>
        <w:t>Fuente: En el caso de los puertos marcados con 1, la carga está medida en  (toneladas métricas y  no son magnitudes directamente comparables). Port Of Rotterdam</w:t>
      </w:r>
    </w:p>
    <w:p w:rsidR="00197AA0" w:rsidRDefault="00197AA0" w:rsidP="00232C32">
      <w:pPr>
        <w:autoSpaceDE w:val="0"/>
        <w:spacing w:line="360" w:lineRule="auto"/>
        <w:ind w:right="44"/>
        <w:jc w:val="both"/>
        <w:rPr>
          <w:rFonts w:ascii="Arial" w:hAnsi="Arial" w:cs="Arial"/>
          <w:b/>
          <w:sz w:val="22"/>
          <w:szCs w:val="22"/>
          <w:lang w:val="es-SV"/>
        </w:rPr>
      </w:pPr>
    </w:p>
    <w:p w:rsidR="00197AA0" w:rsidRPr="00201277" w:rsidRDefault="00197AA0" w:rsidP="00232C32">
      <w:pPr>
        <w:autoSpaceDE w:val="0"/>
        <w:spacing w:line="360" w:lineRule="auto"/>
        <w:ind w:right="44"/>
        <w:jc w:val="both"/>
        <w:rPr>
          <w:rFonts w:ascii="Arial" w:hAnsi="Arial" w:cs="Arial"/>
          <w:b/>
          <w:sz w:val="22"/>
          <w:szCs w:val="22"/>
          <w:lang w:val="es-SV"/>
        </w:rPr>
      </w:pPr>
      <w:r w:rsidRPr="00201277">
        <w:rPr>
          <w:rFonts w:ascii="Arial" w:hAnsi="Arial" w:cs="Arial"/>
          <w:b/>
          <w:sz w:val="22"/>
          <w:szCs w:val="22"/>
          <w:lang w:val="es-SV"/>
        </w:rPr>
        <w:t>Tabla 2.2 10 primeros puertos del mundo en tráfico de contenedores medidos en miles de TEU</w:t>
      </w:r>
    </w:p>
    <w:tbl>
      <w:tblPr>
        <w:tblW w:w="0" w:type="auto"/>
        <w:tblInd w:w="-5" w:type="dxa"/>
        <w:tblLayout w:type="fixed"/>
        <w:tblLook w:val="0000"/>
      </w:tblPr>
      <w:tblGrid>
        <w:gridCol w:w="1384"/>
        <w:gridCol w:w="4378"/>
        <w:gridCol w:w="2892"/>
      </w:tblGrid>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b/>
                <w:sz w:val="18"/>
                <w:szCs w:val="18"/>
                <w:lang w:val="es-SV" w:eastAsia="en-US"/>
              </w:rPr>
            </w:pPr>
            <w:r>
              <w:rPr>
                <w:rFonts w:ascii="Arial" w:hAnsi="Arial" w:cs="Arial"/>
                <w:b/>
                <w:sz w:val="18"/>
                <w:szCs w:val="18"/>
                <w:lang w:val="es-SV"/>
              </w:rPr>
              <w:t>#</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b/>
                <w:sz w:val="18"/>
                <w:szCs w:val="18"/>
                <w:lang w:val="es-SV" w:eastAsia="en-US"/>
              </w:rPr>
            </w:pPr>
            <w:r>
              <w:rPr>
                <w:rFonts w:ascii="Arial" w:hAnsi="Arial" w:cs="Arial"/>
                <w:b/>
                <w:sz w:val="18"/>
                <w:szCs w:val="18"/>
                <w:lang w:val="es-SV"/>
              </w:rPr>
              <w:t>Puerto (País)</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b/>
                <w:sz w:val="18"/>
                <w:szCs w:val="18"/>
                <w:lang w:val="es-SV" w:eastAsia="en-US"/>
              </w:rPr>
            </w:pPr>
            <w:r>
              <w:rPr>
                <w:rFonts w:ascii="Arial" w:hAnsi="Arial" w:cs="Arial"/>
                <w:b/>
                <w:sz w:val="18"/>
                <w:szCs w:val="18"/>
                <w:lang w:val="es-SV"/>
              </w:rPr>
              <w:t>TEU X 1000</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Hong Kong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22.421</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2</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Singapur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21.329</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3</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Shanghai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14.554</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4</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Shenzen (China)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13.660</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5</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Busan (Corea del Sur)</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11.430</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lastRenderedPageBreak/>
              <w:t>6</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Kaoshiung (Taiwan)</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9.710</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7</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Rótterdam (Holanda)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8.281</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8</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Los Ángeles (EE.UU)</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7.321</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9</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Hamburgo (Alemania)</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7.003</w:t>
            </w:r>
          </w:p>
        </w:tc>
      </w:tr>
      <w:tr w:rsidR="00197AA0" w:rsidTr="00232C32">
        <w:tc>
          <w:tcPr>
            <w:tcW w:w="1384"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10</w:t>
            </w:r>
          </w:p>
        </w:tc>
        <w:tc>
          <w:tcPr>
            <w:tcW w:w="4378" w:type="dxa"/>
            <w:tcBorders>
              <w:top w:val="single" w:sz="4" w:space="0" w:color="000000"/>
              <w:left w:val="single" w:sz="4" w:space="0" w:color="000000"/>
              <w:bottom w:val="single" w:sz="4" w:space="0" w:color="000000"/>
              <w:right w:val="nil"/>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Dubai Ports (Dubai)</w:t>
            </w:r>
          </w:p>
        </w:tc>
        <w:tc>
          <w:tcPr>
            <w:tcW w:w="2892" w:type="dxa"/>
            <w:tcBorders>
              <w:top w:val="single" w:sz="4" w:space="0" w:color="000000"/>
              <w:left w:val="single" w:sz="4" w:space="0" w:color="000000"/>
              <w:bottom w:val="single" w:sz="4" w:space="0" w:color="000000"/>
              <w:right w:val="single" w:sz="4" w:space="0" w:color="000000"/>
            </w:tcBorders>
          </w:tcPr>
          <w:p w:rsidR="00197AA0" w:rsidRDefault="00197AA0">
            <w:pPr>
              <w:autoSpaceDE w:val="0"/>
              <w:snapToGrid w:val="0"/>
              <w:spacing w:after="200" w:line="360" w:lineRule="auto"/>
              <w:ind w:right="44"/>
              <w:jc w:val="center"/>
              <w:rPr>
                <w:rFonts w:ascii="Arial" w:hAnsi="Arial" w:cs="Arial"/>
                <w:sz w:val="18"/>
                <w:szCs w:val="18"/>
                <w:lang w:val="es-SV" w:eastAsia="en-US"/>
              </w:rPr>
            </w:pPr>
            <w:r>
              <w:rPr>
                <w:rFonts w:ascii="Arial" w:hAnsi="Arial" w:cs="Arial"/>
                <w:sz w:val="18"/>
                <w:szCs w:val="18"/>
                <w:lang w:val="es-SV"/>
              </w:rPr>
              <w:t>6.429</w:t>
            </w:r>
          </w:p>
        </w:tc>
      </w:tr>
    </w:tbl>
    <w:p w:rsidR="00197AA0" w:rsidRDefault="00197AA0" w:rsidP="00232C32">
      <w:pPr>
        <w:autoSpaceDE w:val="0"/>
        <w:spacing w:line="360" w:lineRule="auto"/>
        <w:ind w:right="44"/>
        <w:jc w:val="both"/>
        <w:rPr>
          <w:rFonts w:ascii="Arial" w:hAnsi="Arial" w:cs="Arial"/>
          <w:sz w:val="18"/>
          <w:szCs w:val="18"/>
          <w:lang w:val="en-US" w:eastAsia="en-US"/>
        </w:rPr>
      </w:pPr>
      <w:r>
        <w:rPr>
          <w:rFonts w:ascii="Arial" w:hAnsi="Arial" w:cs="Arial"/>
          <w:sz w:val="18"/>
          <w:szCs w:val="18"/>
          <w:lang w:val="en-US"/>
        </w:rPr>
        <w:t>Fuente: Port of Rotterdam (www.portofrotterdam.com)</w:t>
      </w:r>
    </w:p>
    <w:p w:rsidR="00197AA0" w:rsidRDefault="001D7573" w:rsidP="00232C32">
      <w:pPr>
        <w:autoSpaceDE w:val="0"/>
        <w:spacing w:line="360" w:lineRule="auto"/>
        <w:ind w:right="44" w:firstLine="567"/>
        <w:jc w:val="both"/>
        <w:rPr>
          <w:rFonts w:ascii="Arial" w:hAnsi="Arial" w:cs="Arial"/>
          <w:sz w:val="22"/>
          <w:szCs w:val="22"/>
          <w:lang w:val="es-SV"/>
        </w:rPr>
      </w:pPr>
      <w:r>
        <w:rPr>
          <w:rFonts w:ascii="Arial" w:hAnsi="Arial" w:cs="Arial"/>
          <w:noProof/>
          <w:sz w:val="22"/>
          <w:szCs w:val="22"/>
        </w:rPr>
        <w:pict>
          <v:shape id="_x0000_s1102" type="#_x0000_t202" style="position:absolute;left:0;text-align:left;margin-left:192.3pt;margin-top:31.4pt;width:31.8pt;height:21pt;z-index:251729920;mso-height-percent:200;mso-height-percent:200;mso-width-relative:margin;mso-height-relative:margin" fillcolor="white [3212]" stroked="f">
            <v:textbox style="mso-next-textbox:#_x0000_s1102;mso-fit-shape-to-text:t">
              <w:txbxContent>
                <w:p w:rsidR="00AC7D7B" w:rsidRDefault="00AC7D7B" w:rsidP="006F39C3">
                  <w:r>
                    <w:t>55</w:t>
                  </w:r>
                </w:p>
              </w:txbxContent>
            </v:textbox>
          </v:shape>
        </w:pict>
      </w:r>
    </w:p>
    <w:p w:rsidR="00197AA0"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Tradicionalmente los puertos han sido lugares de resguardo de las embarcaciones, en los que se podían desarrollar con facilidad las operaciones de carga, descarga, embarque y desembarque, pero hoy en la actualidad las funciones típicas han cambiado, y ahora también desempeñan funciones como la manipulación de mercancías, su depósito y almacenaje, inspección y control de la mercancía por parte de las administraciones públicas, la consolidación y des consolidación de cargas, y servicios de apoyo a los buques.</w:t>
      </w:r>
    </w:p>
    <w:p w:rsidR="00197AA0" w:rsidRPr="00201277" w:rsidRDefault="00197AA0" w:rsidP="00232C32">
      <w:pPr>
        <w:autoSpaceDE w:val="0"/>
        <w:spacing w:line="360" w:lineRule="auto"/>
        <w:ind w:right="44" w:firstLine="567"/>
        <w:jc w:val="both"/>
        <w:rPr>
          <w:rFonts w:ascii="Arial" w:hAnsi="Arial" w:cs="Arial"/>
          <w:sz w:val="22"/>
          <w:szCs w:val="22"/>
          <w:lang w:val="es-SV"/>
        </w:rPr>
      </w:pPr>
    </w:p>
    <w:p w:rsidR="00197AA0"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Ante este nuevo escenario de funciones que debe desempeñar un puerto en la actualidad, se acopla muy bien la definición de la UNCTAD (Conferencia de las Naciones Unidas sobre Comercio y Desarrollo)</w:t>
      </w:r>
      <w:r w:rsidRPr="00201277">
        <w:rPr>
          <w:rStyle w:val="Smbolodenotaalpie"/>
          <w:rFonts w:ascii="Arial" w:hAnsi="Arial" w:cs="Arial"/>
          <w:sz w:val="22"/>
          <w:szCs w:val="22"/>
          <w:lang w:val="es-SV"/>
        </w:rPr>
        <w:t xml:space="preserve"> </w:t>
      </w:r>
      <w:r w:rsidRPr="00201277">
        <w:rPr>
          <w:rFonts w:ascii="Arial" w:hAnsi="Arial" w:cs="Arial"/>
          <w:sz w:val="22"/>
          <w:szCs w:val="22"/>
          <w:lang w:val="es-SV"/>
        </w:rPr>
        <w:t xml:space="preserve">donde además muestra con ella el carácter multifuncional de los puertos, por lo tanto se define: </w:t>
      </w:r>
    </w:p>
    <w:p w:rsidR="00197AA0" w:rsidRPr="00201277" w:rsidRDefault="00197AA0" w:rsidP="00232C32">
      <w:pPr>
        <w:autoSpaceDE w:val="0"/>
        <w:spacing w:line="360" w:lineRule="auto"/>
        <w:ind w:right="44" w:firstLine="567"/>
        <w:jc w:val="both"/>
        <w:rPr>
          <w:rFonts w:ascii="Arial" w:hAnsi="Arial" w:cs="Arial"/>
          <w:sz w:val="22"/>
          <w:szCs w:val="22"/>
          <w:lang w:val="es-SV"/>
        </w:rPr>
      </w:pPr>
    </w:p>
    <w:p w:rsidR="00197AA0" w:rsidRPr="00201277" w:rsidRDefault="00197AA0" w:rsidP="00232C32">
      <w:pPr>
        <w:autoSpaceDE w:val="0"/>
        <w:spacing w:line="360" w:lineRule="auto"/>
        <w:ind w:left="1416" w:right="44"/>
        <w:jc w:val="both"/>
        <w:rPr>
          <w:rFonts w:ascii="Arial" w:hAnsi="Arial" w:cs="Arial"/>
          <w:sz w:val="22"/>
          <w:szCs w:val="22"/>
          <w:lang w:val="es-SV"/>
        </w:rPr>
      </w:pPr>
      <w:r w:rsidRPr="00201277">
        <w:rPr>
          <w:rFonts w:ascii="Arial" w:hAnsi="Arial" w:cs="Arial"/>
          <w:i/>
          <w:iCs/>
          <w:sz w:val="22"/>
          <w:szCs w:val="22"/>
          <w:lang w:val="es-SV"/>
        </w:rPr>
        <w:t>Los puertos son interfaces entre los distintos modos de transporte y son típicamente centros de transporte combinado. En suma, son áreas multifuncionales, comerciales e industriales donde las mercancías no sólo están en tránsito, sino que también son manipuladas, manufacturadas y distribuidas. En efecto, los puertos son sistemas multifuncionales, los cuales, para funcionar adecuadamente, deben ser integrados en la cadena logística global. Un puerto eficiente requiere no sólo infraestructura, superestructura y equipamiento adecuado, sino también buenas comunicaciones y, especialmente, un equipo de gestión dedicado y cualificado y con mano de obra motivada y entrenada</w:t>
      </w:r>
      <w:r w:rsidRPr="00201277">
        <w:rPr>
          <w:rStyle w:val="Refdenotaalpie"/>
          <w:rFonts w:ascii="Arial" w:hAnsi="Arial" w:cs="Arial"/>
          <w:i/>
          <w:iCs/>
          <w:sz w:val="22"/>
          <w:szCs w:val="22"/>
          <w:lang w:val="es-SV"/>
        </w:rPr>
        <w:footnoteReference w:id="104"/>
      </w:r>
      <w:r w:rsidRPr="00201277">
        <w:rPr>
          <w:rFonts w:ascii="Arial" w:hAnsi="Arial" w:cs="Arial"/>
          <w:sz w:val="22"/>
          <w:szCs w:val="22"/>
          <w:lang w:val="es-SV"/>
        </w:rPr>
        <w:t>.</w:t>
      </w:r>
    </w:p>
    <w:p w:rsidR="00197AA0" w:rsidRPr="00201277" w:rsidRDefault="00197AA0" w:rsidP="00232C32">
      <w:pPr>
        <w:pStyle w:val="Default"/>
        <w:spacing w:line="360" w:lineRule="auto"/>
        <w:ind w:right="44"/>
        <w:jc w:val="both"/>
        <w:rPr>
          <w:sz w:val="22"/>
          <w:szCs w:val="22"/>
        </w:rPr>
      </w:pP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lastRenderedPageBreak/>
        <w:t>2.1.1 Tipología de clasificación de los puertos</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rPr>
        <w:pict>
          <v:shape id="_x0000_s1103" type="#_x0000_t202" style="position:absolute;left:0;text-align:left;margin-left:171.5pt;margin-top:192.8pt;width:31.8pt;height:21pt;z-index:251730944;mso-height-percent:200;mso-height-percent:200;mso-width-relative:margin;mso-height-relative:margin" fillcolor="white [3212]" stroked="f">
            <v:textbox style="mso-next-textbox:#_x0000_s1103;mso-fit-shape-to-text:t">
              <w:txbxContent>
                <w:p w:rsidR="00AC7D7B" w:rsidRDefault="00AC7D7B" w:rsidP="006F39C3">
                  <w:r>
                    <w:t>56</w:t>
                  </w:r>
                </w:p>
              </w:txbxContent>
            </v:textbox>
          </v:shape>
        </w:pict>
      </w:r>
      <w:r w:rsidR="00197AA0" w:rsidRPr="00201277">
        <w:rPr>
          <w:rFonts w:ascii="Arial" w:hAnsi="Arial" w:cs="Arial"/>
          <w:sz w:val="22"/>
          <w:szCs w:val="22"/>
        </w:rPr>
        <w:t xml:space="preserve">Para evitar la complejidad que existe en la diversidad de los puertos marítimos y la comúnmente clasificación de la mayoría de los puertos como </w:t>
      </w:r>
      <w:r w:rsidR="00197AA0" w:rsidRPr="00201277">
        <w:rPr>
          <w:rFonts w:ascii="Arial" w:hAnsi="Arial" w:cs="Arial"/>
          <w:i/>
          <w:sz w:val="22"/>
          <w:szCs w:val="22"/>
        </w:rPr>
        <w:t xml:space="preserve">Sui Generis, </w:t>
      </w:r>
      <w:r w:rsidR="00197AA0" w:rsidRPr="00201277">
        <w:rPr>
          <w:rFonts w:ascii="Arial" w:hAnsi="Arial" w:cs="Arial"/>
          <w:sz w:val="22"/>
          <w:szCs w:val="22"/>
        </w:rPr>
        <w:t>se realiza una tipología sobre la base de los criterios simples, esto quiere decir que no se consideran todos los elementos que conciernen a los respectivos puertos, sino que los puertos individuales se combinan en grupos generales por similitudes geográficas, económicas y otras. Según este método preliminar de clasificación, los tipos de puertos se pueden agrupar como:</w:t>
      </w:r>
    </w:p>
    <w:p w:rsidR="00197AA0" w:rsidRPr="00201277" w:rsidRDefault="00197AA0" w:rsidP="00232C32">
      <w:pPr>
        <w:pStyle w:val="NormalWeb"/>
        <w:numPr>
          <w:ilvl w:val="0"/>
          <w:numId w:val="14"/>
        </w:numPr>
        <w:suppressAutoHyphens w:val="0"/>
        <w:spacing w:before="100" w:after="100" w:line="360" w:lineRule="auto"/>
        <w:ind w:right="44"/>
        <w:jc w:val="both"/>
        <w:rPr>
          <w:rFonts w:ascii="Arial" w:hAnsi="Arial" w:cs="Arial"/>
          <w:sz w:val="22"/>
          <w:szCs w:val="22"/>
        </w:rPr>
      </w:pPr>
      <w:r w:rsidRPr="00201277">
        <w:rPr>
          <w:rFonts w:ascii="Arial" w:hAnsi="Arial" w:cs="Arial"/>
          <w:sz w:val="22"/>
          <w:szCs w:val="22"/>
        </w:rPr>
        <w:t>Criterios de Clasificación:</w:t>
      </w:r>
    </w:p>
    <w:p w:rsidR="00197AA0" w:rsidRPr="00201277" w:rsidRDefault="00197AA0" w:rsidP="00232C32">
      <w:pPr>
        <w:pStyle w:val="NormalWeb"/>
        <w:spacing w:line="360" w:lineRule="auto"/>
        <w:ind w:right="44"/>
        <w:jc w:val="both"/>
        <w:rPr>
          <w:rStyle w:val="Textoennegrita"/>
          <w:rFonts w:ascii="Arial" w:hAnsi="Arial" w:cs="Arial"/>
          <w:b w:val="0"/>
          <w:sz w:val="22"/>
          <w:szCs w:val="22"/>
        </w:rPr>
      </w:pPr>
      <w:r w:rsidRPr="00201277">
        <w:rPr>
          <w:rStyle w:val="Textoennegrita"/>
          <w:rFonts w:ascii="Arial" w:hAnsi="Arial" w:cs="Arial"/>
          <w:b w:val="0"/>
          <w:sz w:val="22"/>
          <w:szCs w:val="22"/>
        </w:rPr>
        <w:t xml:space="preserve">1.- Por su situación respecto al mar: </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sz w:val="22"/>
          <w:szCs w:val="22"/>
        </w:rPr>
        <w:t>Puerto costero:</w:t>
      </w:r>
    </w:p>
    <w:p w:rsidR="00197AA0" w:rsidRPr="00201277" w:rsidRDefault="00197AA0" w:rsidP="00232C32">
      <w:pPr>
        <w:numPr>
          <w:ilvl w:val="0"/>
          <w:numId w:val="15"/>
        </w:numPr>
        <w:suppressAutoHyphens/>
        <w:spacing w:before="280" w:line="360" w:lineRule="auto"/>
        <w:ind w:right="44"/>
        <w:jc w:val="both"/>
        <w:rPr>
          <w:rFonts w:ascii="Arial" w:hAnsi="Arial" w:cs="Arial"/>
          <w:sz w:val="22"/>
          <w:szCs w:val="22"/>
        </w:rPr>
      </w:pPr>
      <w:r w:rsidRPr="00201277">
        <w:rPr>
          <w:rFonts w:ascii="Arial" w:hAnsi="Arial" w:cs="Arial"/>
          <w:sz w:val="22"/>
          <w:szCs w:val="22"/>
        </w:rPr>
        <w:t>De bahía.</w:t>
      </w:r>
    </w:p>
    <w:p w:rsidR="00197AA0" w:rsidRPr="00201277" w:rsidRDefault="00197AA0" w:rsidP="00232C32">
      <w:pPr>
        <w:numPr>
          <w:ilvl w:val="0"/>
          <w:numId w:val="15"/>
        </w:numPr>
        <w:suppressAutoHyphens/>
        <w:spacing w:line="360" w:lineRule="auto"/>
        <w:ind w:right="44"/>
        <w:jc w:val="both"/>
        <w:rPr>
          <w:rFonts w:ascii="Arial" w:hAnsi="Arial" w:cs="Arial"/>
          <w:sz w:val="22"/>
          <w:szCs w:val="22"/>
        </w:rPr>
      </w:pPr>
      <w:r w:rsidRPr="00201277">
        <w:rPr>
          <w:rFonts w:ascii="Arial" w:hAnsi="Arial" w:cs="Arial"/>
          <w:sz w:val="22"/>
          <w:szCs w:val="22"/>
        </w:rPr>
        <w:t xml:space="preserve">De estuario fluvial. </w:t>
      </w:r>
    </w:p>
    <w:p w:rsidR="00197AA0" w:rsidRPr="00201277" w:rsidRDefault="00197AA0" w:rsidP="00232C32">
      <w:pPr>
        <w:numPr>
          <w:ilvl w:val="0"/>
          <w:numId w:val="15"/>
        </w:numPr>
        <w:suppressAutoHyphens/>
        <w:spacing w:line="360" w:lineRule="auto"/>
        <w:ind w:right="44"/>
        <w:jc w:val="both"/>
        <w:rPr>
          <w:rFonts w:ascii="Arial" w:hAnsi="Arial" w:cs="Arial"/>
          <w:sz w:val="22"/>
          <w:szCs w:val="22"/>
        </w:rPr>
      </w:pPr>
      <w:r w:rsidRPr="00201277">
        <w:rPr>
          <w:rFonts w:ascii="Arial" w:hAnsi="Arial" w:cs="Arial"/>
          <w:sz w:val="22"/>
          <w:szCs w:val="22"/>
        </w:rPr>
        <w:t>De fiordo.</w:t>
      </w:r>
    </w:p>
    <w:p w:rsidR="00197AA0" w:rsidRPr="00201277" w:rsidRDefault="00197AA0" w:rsidP="00232C32">
      <w:pPr>
        <w:numPr>
          <w:ilvl w:val="0"/>
          <w:numId w:val="15"/>
        </w:numPr>
        <w:suppressAutoHyphens/>
        <w:spacing w:line="360" w:lineRule="auto"/>
        <w:ind w:right="44"/>
        <w:jc w:val="both"/>
        <w:rPr>
          <w:rFonts w:ascii="Arial" w:hAnsi="Arial" w:cs="Arial"/>
          <w:sz w:val="22"/>
          <w:szCs w:val="22"/>
        </w:rPr>
      </w:pPr>
      <w:r w:rsidRPr="00201277">
        <w:rPr>
          <w:rFonts w:ascii="Arial" w:hAnsi="Arial" w:cs="Arial"/>
          <w:sz w:val="22"/>
          <w:szCs w:val="22"/>
        </w:rPr>
        <w:t>Fluvial.</w:t>
      </w:r>
    </w:p>
    <w:p w:rsidR="00197AA0" w:rsidRPr="00201277" w:rsidRDefault="00197AA0" w:rsidP="00232C32">
      <w:pPr>
        <w:numPr>
          <w:ilvl w:val="0"/>
          <w:numId w:val="15"/>
        </w:numPr>
        <w:suppressAutoHyphens/>
        <w:spacing w:line="360" w:lineRule="auto"/>
        <w:ind w:right="44"/>
        <w:jc w:val="both"/>
        <w:rPr>
          <w:rFonts w:ascii="Arial" w:hAnsi="Arial" w:cs="Arial"/>
          <w:sz w:val="22"/>
          <w:szCs w:val="22"/>
        </w:rPr>
      </w:pPr>
      <w:r w:rsidRPr="00201277">
        <w:rPr>
          <w:rFonts w:ascii="Arial" w:hAnsi="Arial" w:cs="Arial"/>
          <w:sz w:val="22"/>
          <w:szCs w:val="22"/>
        </w:rPr>
        <w:t xml:space="preserve">Lacustre. </w:t>
      </w:r>
    </w:p>
    <w:p w:rsidR="00197AA0" w:rsidRPr="00201277" w:rsidRDefault="00197AA0" w:rsidP="00232C32">
      <w:pPr>
        <w:numPr>
          <w:ilvl w:val="0"/>
          <w:numId w:val="15"/>
        </w:numPr>
        <w:suppressAutoHyphens/>
        <w:spacing w:after="280" w:line="360" w:lineRule="auto"/>
        <w:ind w:right="44"/>
        <w:jc w:val="both"/>
        <w:rPr>
          <w:rFonts w:ascii="Arial" w:hAnsi="Arial" w:cs="Arial"/>
          <w:sz w:val="22"/>
          <w:szCs w:val="22"/>
        </w:rPr>
      </w:pPr>
      <w:r w:rsidRPr="00201277">
        <w:rPr>
          <w:rFonts w:ascii="Arial" w:hAnsi="Arial" w:cs="Arial"/>
          <w:sz w:val="22"/>
          <w:szCs w:val="22"/>
        </w:rPr>
        <w:t xml:space="preserve">De canal.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El criterio de uniformidad, en este caso, es la situación geográfica del puerto. Esta clasificación incluye también la diferenciación entre puerto exterior y puerto principal interior. </w:t>
      </w:r>
    </w:p>
    <w:p w:rsidR="00197AA0" w:rsidRPr="00201277" w:rsidRDefault="00197AA0" w:rsidP="00232C32">
      <w:pPr>
        <w:pStyle w:val="NormalWeb"/>
        <w:spacing w:line="360" w:lineRule="auto"/>
        <w:ind w:right="44"/>
        <w:jc w:val="both"/>
        <w:rPr>
          <w:rStyle w:val="Textoennegrita"/>
          <w:rFonts w:ascii="Arial" w:hAnsi="Arial" w:cs="Arial"/>
          <w:b w:val="0"/>
          <w:sz w:val="22"/>
          <w:szCs w:val="22"/>
        </w:rPr>
      </w:pPr>
      <w:r w:rsidRPr="00201277">
        <w:rPr>
          <w:rStyle w:val="Textoennegrita"/>
          <w:rFonts w:ascii="Arial" w:hAnsi="Arial" w:cs="Arial"/>
          <w:b w:val="0"/>
          <w:sz w:val="22"/>
          <w:szCs w:val="22"/>
        </w:rPr>
        <w:t xml:space="preserve">2.- Por la situación de las Mareas: </w:t>
      </w:r>
    </w:p>
    <w:p w:rsidR="00197AA0" w:rsidRPr="00201277" w:rsidRDefault="00197AA0" w:rsidP="00232C32">
      <w:pPr>
        <w:numPr>
          <w:ilvl w:val="0"/>
          <w:numId w:val="16"/>
        </w:numPr>
        <w:suppressAutoHyphens/>
        <w:spacing w:before="280" w:line="360" w:lineRule="auto"/>
        <w:ind w:right="44"/>
        <w:jc w:val="both"/>
        <w:rPr>
          <w:rFonts w:ascii="Arial" w:hAnsi="Arial" w:cs="Arial"/>
          <w:sz w:val="22"/>
          <w:szCs w:val="22"/>
        </w:rPr>
      </w:pPr>
      <w:r w:rsidRPr="00201277">
        <w:rPr>
          <w:rFonts w:ascii="Arial" w:hAnsi="Arial" w:cs="Arial"/>
          <w:sz w:val="22"/>
          <w:szCs w:val="22"/>
        </w:rPr>
        <w:t xml:space="preserve">Puerto de mareas. </w:t>
      </w:r>
    </w:p>
    <w:p w:rsidR="00197AA0" w:rsidRPr="00201277" w:rsidRDefault="00197AA0" w:rsidP="00232C32">
      <w:pPr>
        <w:numPr>
          <w:ilvl w:val="0"/>
          <w:numId w:val="16"/>
        </w:numPr>
        <w:suppressAutoHyphens/>
        <w:spacing w:line="360" w:lineRule="auto"/>
        <w:ind w:right="44"/>
        <w:jc w:val="both"/>
        <w:rPr>
          <w:rFonts w:ascii="Arial" w:hAnsi="Arial" w:cs="Arial"/>
          <w:sz w:val="22"/>
          <w:szCs w:val="22"/>
        </w:rPr>
      </w:pPr>
      <w:r w:rsidRPr="00201277">
        <w:rPr>
          <w:rFonts w:ascii="Arial" w:hAnsi="Arial" w:cs="Arial"/>
          <w:sz w:val="22"/>
          <w:szCs w:val="22"/>
        </w:rPr>
        <w:t>Abierto.</w:t>
      </w:r>
    </w:p>
    <w:p w:rsidR="00197AA0" w:rsidRPr="00201277" w:rsidRDefault="00197AA0" w:rsidP="00232C32">
      <w:pPr>
        <w:numPr>
          <w:ilvl w:val="0"/>
          <w:numId w:val="16"/>
        </w:numPr>
        <w:suppressAutoHyphens/>
        <w:spacing w:line="360" w:lineRule="auto"/>
        <w:ind w:right="44"/>
        <w:jc w:val="both"/>
        <w:rPr>
          <w:rFonts w:ascii="Arial" w:hAnsi="Arial" w:cs="Arial"/>
          <w:sz w:val="22"/>
          <w:szCs w:val="22"/>
        </w:rPr>
      </w:pPr>
      <w:r w:rsidRPr="00201277">
        <w:rPr>
          <w:rFonts w:ascii="Arial" w:hAnsi="Arial" w:cs="Arial"/>
          <w:sz w:val="22"/>
          <w:szCs w:val="22"/>
        </w:rPr>
        <w:t>De pleamar.</w:t>
      </w:r>
    </w:p>
    <w:p w:rsidR="00197AA0" w:rsidRPr="00201277" w:rsidRDefault="00197AA0" w:rsidP="00232C32">
      <w:pPr>
        <w:numPr>
          <w:ilvl w:val="0"/>
          <w:numId w:val="16"/>
        </w:numPr>
        <w:suppressAutoHyphens/>
        <w:spacing w:line="360" w:lineRule="auto"/>
        <w:ind w:right="44"/>
        <w:jc w:val="both"/>
        <w:rPr>
          <w:rFonts w:ascii="Arial" w:hAnsi="Arial" w:cs="Arial"/>
          <w:sz w:val="22"/>
          <w:szCs w:val="22"/>
        </w:rPr>
      </w:pPr>
      <w:r w:rsidRPr="00201277">
        <w:rPr>
          <w:rFonts w:ascii="Arial" w:hAnsi="Arial" w:cs="Arial"/>
          <w:sz w:val="22"/>
          <w:szCs w:val="22"/>
        </w:rPr>
        <w:t>De dique.</w:t>
      </w:r>
    </w:p>
    <w:p w:rsidR="00197AA0" w:rsidRPr="00201277" w:rsidRDefault="00197AA0" w:rsidP="00232C32">
      <w:pPr>
        <w:numPr>
          <w:ilvl w:val="0"/>
          <w:numId w:val="16"/>
        </w:numPr>
        <w:suppressAutoHyphens/>
        <w:spacing w:line="360" w:lineRule="auto"/>
        <w:ind w:right="44"/>
        <w:jc w:val="both"/>
        <w:rPr>
          <w:rFonts w:ascii="Arial" w:hAnsi="Arial" w:cs="Arial"/>
          <w:sz w:val="22"/>
          <w:szCs w:val="22"/>
        </w:rPr>
      </w:pPr>
      <w:r w:rsidRPr="00201277">
        <w:rPr>
          <w:rFonts w:ascii="Arial" w:hAnsi="Arial" w:cs="Arial"/>
          <w:sz w:val="22"/>
          <w:szCs w:val="22"/>
        </w:rPr>
        <w:t xml:space="preserve">Esclusa. </w:t>
      </w:r>
    </w:p>
    <w:p w:rsidR="00197AA0" w:rsidRPr="00201277" w:rsidRDefault="00197AA0" w:rsidP="00232C32">
      <w:pPr>
        <w:numPr>
          <w:ilvl w:val="0"/>
          <w:numId w:val="16"/>
        </w:numPr>
        <w:suppressAutoHyphens/>
        <w:spacing w:after="280" w:line="360" w:lineRule="auto"/>
        <w:ind w:right="44"/>
        <w:jc w:val="both"/>
        <w:rPr>
          <w:rFonts w:ascii="Arial" w:hAnsi="Arial" w:cs="Arial"/>
          <w:sz w:val="22"/>
          <w:szCs w:val="22"/>
        </w:rPr>
      </w:pPr>
      <w:r w:rsidRPr="00201277">
        <w:rPr>
          <w:rFonts w:ascii="Arial" w:hAnsi="Arial" w:cs="Arial"/>
          <w:sz w:val="22"/>
          <w:szCs w:val="22"/>
        </w:rPr>
        <w:t xml:space="preserve">De calado profundo.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lastRenderedPageBreak/>
        <w:t>Un puerto de mareas se caracteriza por su conexión abierta con el mar y por los niveles cambiantes de agua en las dársenas. Si un puerto está situado en mares, ríos y lagos con poca o ninguna diferencia de mareas, no debería ser clasificada como puerto de mareas. En este caso, el término puerto abierto sería el apropiado pero no está en uso.</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rPr>
        <w:pict>
          <v:shape id="_x0000_s1104" type="#_x0000_t202" style="position:absolute;left:0;text-align:left;margin-left:205.5pt;margin-top:96.2pt;width:31.8pt;height:21pt;z-index:251731968;mso-height-percent:200;mso-height-percent:200;mso-width-relative:margin;mso-height-relative:margin" fillcolor="white [3212]" stroked="f">
            <v:textbox style="mso-next-textbox:#_x0000_s1104;mso-fit-shape-to-text:t">
              <w:txbxContent>
                <w:p w:rsidR="00AC7D7B" w:rsidRDefault="00AC7D7B" w:rsidP="006F39C3">
                  <w:r>
                    <w:t>57</w:t>
                  </w:r>
                </w:p>
              </w:txbxContent>
            </v:textbox>
          </v:shape>
        </w:pict>
      </w:r>
      <w:r w:rsidR="00197AA0" w:rsidRPr="00201277">
        <w:rPr>
          <w:rFonts w:ascii="Arial" w:hAnsi="Arial" w:cs="Arial"/>
          <w:sz w:val="22"/>
          <w:szCs w:val="22"/>
        </w:rPr>
        <w:t>Otra forma especial de un puerto de mareas es el puerto de pleamar. Estos puertos sólo son accesibles en ciertas mareas, por canales naturales de aguas poco profundas que desaparecen prácticamente por completo en bajamar.</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En el caso de los puertos de dique y de esclusa, hay una compuerta o esclusa entre el mar y el puerto.</w:t>
      </w:r>
    </w:p>
    <w:p w:rsidR="00197AA0" w:rsidRPr="00201277" w:rsidRDefault="00197AA0" w:rsidP="00232C32">
      <w:pPr>
        <w:pStyle w:val="NormalWeb"/>
        <w:spacing w:line="360" w:lineRule="auto"/>
        <w:ind w:right="44"/>
        <w:jc w:val="both"/>
        <w:rPr>
          <w:rStyle w:val="Textoennegrita"/>
          <w:rFonts w:ascii="Arial" w:hAnsi="Arial" w:cs="Arial"/>
          <w:b w:val="0"/>
          <w:sz w:val="22"/>
          <w:szCs w:val="22"/>
        </w:rPr>
      </w:pPr>
      <w:r w:rsidRPr="00201277">
        <w:rPr>
          <w:rStyle w:val="Textoennegrita"/>
          <w:rFonts w:ascii="Arial" w:hAnsi="Arial" w:cs="Arial"/>
          <w:b w:val="0"/>
          <w:sz w:val="22"/>
          <w:szCs w:val="22"/>
        </w:rPr>
        <w:t>3.- Por el alcance de su actividad:</w:t>
      </w:r>
    </w:p>
    <w:p w:rsidR="00197AA0" w:rsidRPr="00201277" w:rsidRDefault="00197AA0" w:rsidP="00232C32">
      <w:pPr>
        <w:numPr>
          <w:ilvl w:val="0"/>
          <w:numId w:val="17"/>
        </w:numPr>
        <w:suppressAutoHyphens/>
        <w:spacing w:before="280" w:line="360" w:lineRule="auto"/>
        <w:ind w:right="44"/>
        <w:jc w:val="both"/>
        <w:rPr>
          <w:rFonts w:ascii="Arial" w:hAnsi="Arial" w:cs="Arial"/>
          <w:sz w:val="22"/>
          <w:szCs w:val="22"/>
        </w:rPr>
      </w:pPr>
      <w:r w:rsidRPr="00201277">
        <w:rPr>
          <w:rFonts w:ascii="Arial" w:hAnsi="Arial" w:cs="Arial"/>
          <w:sz w:val="22"/>
          <w:szCs w:val="22"/>
        </w:rPr>
        <w:t>Puerto Mundial.</w:t>
      </w:r>
    </w:p>
    <w:p w:rsidR="00197AA0" w:rsidRPr="00201277" w:rsidRDefault="00197AA0" w:rsidP="00232C32">
      <w:pPr>
        <w:numPr>
          <w:ilvl w:val="0"/>
          <w:numId w:val="17"/>
        </w:numPr>
        <w:suppressAutoHyphens/>
        <w:spacing w:line="360" w:lineRule="auto"/>
        <w:ind w:right="44"/>
        <w:jc w:val="both"/>
        <w:rPr>
          <w:rFonts w:ascii="Arial" w:hAnsi="Arial" w:cs="Arial"/>
          <w:sz w:val="22"/>
          <w:szCs w:val="22"/>
        </w:rPr>
      </w:pPr>
      <w:r w:rsidRPr="00201277">
        <w:rPr>
          <w:rFonts w:ascii="Arial" w:hAnsi="Arial" w:cs="Arial"/>
          <w:sz w:val="22"/>
          <w:szCs w:val="22"/>
        </w:rPr>
        <w:t>Puerto Regional.</w:t>
      </w:r>
    </w:p>
    <w:p w:rsidR="00197AA0" w:rsidRPr="00201277" w:rsidRDefault="00197AA0" w:rsidP="00232C32">
      <w:pPr>
        <w:numPr>
          <w:ilvl w:val="0"/>
          <w:numId w:val="17"/>
        </w:numPr>
        <w:suppressAutoHyphens/>
        <w:spacing w:after="280" w:line="360" w:lineRule="auto"/>
        <w:ind w:right="44"/>
        <w:jc w:val="both"/>
        <w:rPr>
          <w:rFonts w:ascii="Arial" w:hAnsi="Arial" w:cs="Arial"/>
          <w:sz w:val="22"/>
          <w:szCs w:val="22"/>
        </w:rPr>
      </w:pPr>
      <w:r w:rsidRPr="00201277">
        <w:rPr>
          <w:rFonts w:ascii="Arial" w:hAnsi="Arial" w:cs="Arial"/>
          <w:sz w:val="22"/>
          <w:szCs w:val="22"/>
        </w:rPr>
        <w:t>Puerto Local.</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Este criterio se basa en la importancia geográfica de un puerto dentro de la red de comercio marítimo. Así, un puerto mundial tiene que ser, al menos, un puerto universal, con conexiones de línea a todas las zonas principales del comercio mundial. Por el contrario, un puerto local se caracteriza por el hecho de que sus relaciones marítimas son, geográficamente, limitadas. </w:t>
      </w:r>
    </w:p>
    <w:p w:rsidR="00197AA0" w:rsidRPr="00201277" w:rsidRDefault="00197AA0" w:rsidP="00232C32">
      <w:pPr>
        <w:pStyle w:val="NormalWeb"/>
        <w:spacing w:line="360" w:lineRule="auto"/>
        <w:ind w:right="44"/>
        <w:jc w:val="both"/>
        <w:rPr>
          <w:rStyle w:val="Textoennegrita"/>
          <w:rFonts w:ascii="Arial" w:hAnsi="Arial" w:cs="Arial"/>
          <w:b w:val="0"/>
          <w:sz w:val="22"/>
          <w:szCs w:val="22"/>
        </w:rPr>
      </w:pPr>
      <w:r w:rsidRPr="00201277">
        <w:rPr>
          <w:rStyle w:val="Textoennegrita"/>
          <w:rFonts w:ascii="Arial" w:hAnsi="Arial" w:cs="Arial"/>
          <w:b w:val="0"/>
          <w:sz w:val="22"/>
          <w:szCs w:val="22"/>
        </w:rPr>
        <w:t>4.- Por las condiciones relativas al régimen de Aduana:</w:t>
      </w:r>
    </w:p>
    <w:p w:rsidR="00197AA0" w:rsidRPr="00201277" w:rsidRDefault="00197AA0" w:rsidP="00232C32">
      <w:pPr>
        <w:numPr>
          <w:ilvl w:val="0"/>
          <w:numId w:val="18"/>
        </w:numPr>
        <w:suppressAutoHyphens/>
        <w:spacing w:before="280" w:line="360" w:lineRule="auto"/>
        <w:ind w:right="44"/>
        <w:jc w:val="both"/>
        <w:rPr>
          <w:rFonts w:ascii="Arial" w:hAnsi="Arial" w:cs="Arial"/>
          <w:sz w:val="22"/>
          <w:szCs w:val="22"/>
        </w:rPr>
      </w:pPr>
      <w:r w:rsidRPr="00201277">
        <w:rPr>
          <w:rFonts w:ascii="Arial" w:hAnsi="Arial" w:cs="Arial"/>
          <w:sz w:val="22"/>
          <w:szCs w:val="22"/>
        </w:rPr>
        <w:t>Puerto Franco.</w:t>
      </w:r>
    </w:p>
    <w:p w:rsidR="00197AA0" w:rsidRPr="00201277" w:rsidRDefault="00197AA0" w:rsidP="00232C32">
      <w:pPr>
        <w:numPr>
          <w:ilvl w:val="0"/>
          <w:numId w:val="18"/>
        </w:numPr>
        <w:suppressAutoHyphens/>
        <w:spacing w:after="280" w:line="360" w:lineRule="auto"/>
        <w:ind w:right="44"/>
        <w:jc w:val="both"/>
        <w:rPr>
          <w:rFonts w:ascii="Arial" w:hAnsi="Arial" w:cs="Arial"/>
          <w:sz w:val="22"/>
          <w:szCs w:val="22"/>
        </w:rPr>
      </w:pPr>
      <w:r w:rsidRPr="00201277">
        <w:rPr>
          <w:rFonts w:ascii="Arial" w:hAnsi="Arial" w:cs="Arial"/>
          <w:sz w:val="22"/>
          <w:szCs w:val="22"/>
        </w:rPr>
        <w:t>Puerto con Aduana.</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Las restricciones que acompañan a los despachos de aduana en las confluencias de tráficos condujeron a una gran diversidad de normativas, con el objeto de reducir restricciones, en beneficio de una operación de tráfico rápida y simple. Con mucha frecuencia esta facilidad en los puertos es denominada  Puerto Franco, pero también se usa Zona de Comercio Franco, Zona de Comercio Exterior, Puerto de Distribución, etc.</w:t>
      </w:r>
    </w:p>
    <w:p w:rsidR="00197AA0" w:rsidRPr="00201277" w:rsidRDefault="00197AA0" w:rsidP="00232C32">
      <w:pPr>
        <w:pStyle w:val="NormalWeb"/>
        <w:spacing w:line="360" w:lineRule="auto"/>
        <w:ind w:right="44"/>
        <w:jc w:val="both"/>
        <w:rPr>
          <w:rStyle w:val="Textoennegrita"/>
          <w:rFonts w:ascii="Arial" w:hAnsi="Arial" w:cs="Arial"/>
          <w:b w:val="0"/>
          <w:sz w:val="22"/>
          <w:szCs w:val="22"/>
        </w:rPr>
      </w:pPr>
      <w:r w:rsidRPr="00201277">
        <w:rPr>
          <w:rStyle w:val="Textoennegrita"/>
          <w:rFonts w:ascii="Arial" w:hAnsi="Arial" w:cs="Arial"/>
          <w:b w:val="0"/>
          <w:sz w:val="22"/>
          <w:szCs w:val="22"/>
        </w:rPr>
        <w:lastRenderedPageBreak/>
        <w:t xml:space="preserve">5.- Por la propiedad: </w:t>
      </w:r>
    </w:p>
    <w:p w:rsidR="00197AA0" w:rsidRPr="00201277" w:rsidRDefault="00197AA0" w:rsidP="00232C32">
      <w:pPr>
        <w:numPr>
          <w:ilvl w:val="0"/>
          <w:numId w:val="19"/>
        </w:numPr>
        <w:suppressAutoHyphens/>
        <w:spacing w:before="280" w:line="360" w:lineRule="auto"/>
        <w:ind w:right="44"/>
        <w:jc w:val="both"/>
        <w:rPr>
          <w:rFonts w:ascii="Arial" w:hAnsi="Arial" w:cs="Arial"/>
          <w:sz w:val="22"/>
          <w:szCs w:val="22"/>
        </w:rPr>
      </w:pPr>
      <w:r w:rsidRPr="00201277">
        <w:rPr>
          <w:rFonts w:ascii="Arial" w:hAnsi="Arial" w:cs="Arial"/>
          <w:sz w:val="22"/>
          <w:szCs w:val="22"/>
        </w:rPr>
        <w:t>Puertos federales.</w:t>
      </w:r>
    </w:p>
    <w:p w:rsidR="00197AA0" w:rsidRPr="00201277" w:rsidRDefault="00197AA0" w:rsidP="00232C32">
      <w:pPr>
        <w:numPr>
          <w:ilvl w:val="0"/>
          <w:numId w:val="19"/>
        </w:numPr>
        <w:suppressAutoHyphens/>
        <w:spacing w:line="360" w:lineRule="auto"/>
        <w:ind w:right="44"/>
        <w:jc w:val="both"/>
        <w:rPr>
          <w:rFonts w:ascii="Arial" w:hAnsi="Arial" w:cs="Arial"/>
          <w:sz w:val="22"/>
          <w:szCs w:val="22"/>
        </w:rPr>
      </w:pPr>
      <w:r w:rsidRPr="00201277">
        <w:rPr>
          <w:rFonts w:ascii="Arial" w:hAnsi="Arial" w:cs="Arial"/>
          <w:sz w:val="22"/>
          <w:szCs w:val="22"/>
        </w:rPr>
        <w:t>Puertos estatales.</w:t>
      </w:r>
    </w:p>
    <w:p w:rsidR="00197AA0" w:rsidRPr="00201277" w:rsidRDefault="00197AA0" w:rsidP="00232C32">
      <w:pPr>
        <w:numPr>
          <w:ilvl w:val="0"/>
          <w:numId w:val="19"/>
        </w:numPr>
        <w:suppressAutoHyphens/>
        <w:spacing w:line="360" w:lineRule="auto"/>
        <w:ind w:right="44"/>
        <w:jc w:val="both"/>
        <w:rPr>
          <w:rFonts w:ascii="Arial" w:hAnsi="Arial" w:cs="Arial"/>
          <w:sz w:val="22"/>
          <w:szCs w:val="22"/>
        </w:rPr>
      </w:pPr>
      <w:r w:rsidRPr="00201277">
        <w:rPr>
          <w:rFonts w:ascii="Arial" w:hAnsi="Arial" w:cs="Arial"/>
          <w:sz w:val="22"/>
          <w:szCs w:val="22"/>
        </w:rPr>
        <w:t>Puertos municipales.</w:t>
      </w:r>
    </w:p>
    <w:p w:rsidR="00197AA0" w:rsidRPr="00201277" w:rsidRDefault="00197AA0" w:rsidP="00232C32">
      <w:pPr>
        <w:numPr>
          <w:ilvl w:val="0"/>
          <w:numId w:val="19"/>
        </w:numPr>
        <w:suppressAutoHyphens/>
        <w:spacing w:line="360" w:lineRule="auto"/>
        <w:ind w:right="44"/>
        <w:jc w:val="both"/>
        <w:rPr>
          <w:rFonts w:ascii="Arial" w:hAnsi="Arial" w:cs="Arial"/>
          <w:sz w:val="22"/>
          <w:szCs w:val="22"/>
        </w:rPr>
      </w:pPr>
      <w:r w:rsidRPr="00201277">
        <w:rPr>
          <w:rFonts w:ascii="Arial" w:hAnsi="Arial" w:cs="Arial"/>
          <w:sz w:val="22"/>
          <w:szCs w:val="22"/>
        </w:rPr>
        <w:t>Puertos de ciudad.</w:t>
      </w:r>
    </w:p>
    <w:p w:rsidR="00197AA0" w:rsidRPr="00201277" w:rsidRDefault="00197AA0" w:rsidP="00232C32">
      <w:pPr>
        <w:numPr>
          <w:ilvl w:val="0"/>
          <w:numId w:val="19"/>
        </w:numPr>
        <w:suppressAutoHyphens/>
        <w:spacing w:after="280" w:line="360" w:lineRule="auto"/>
        <w:ind w:right="44"/>
        <w:jc w:val="both"/>
        <w:rPr>
          <w:rFonts w:ascii="Arial" w:hAnsi="Arial" w:cs="Arial"/>
          <w:sz w:val="22"/>
          <w:szCs w:val="22"/>
        </w:rPr>
      </w:pPr>
      <w:r w:rsidRPr="00201277">
        <w:rPr>
          <w:rFonts w:ascii="Arial" w:hAnsi="Arial" w:cs="Arial"/>
          <w:sz w:val="22"/>
          <w:szCs w:val="22"/>
        </w:rPr>
        <w:t>Puertos privados.</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lang w:eastAsia="es-ES"/>
        </w:rPr>
        <w:pict>
          <v:shape id="_x0000_s1105" type="#_x0000_t202" style="position:absolute;left:0;text-align:left;margin-left:168.75pt;margin-top:57.8pt;width:31.8pt;height:21pt;z-index:251732992;mso-height-percent:200;mso-height-percent:200;mso-width-relative:margin;mso-height-relative:margin" fillcolor="white [3212]" stroked="f">
            <v:textbox style="mso-next-textbox:#_x0000_s1105;mso-fit-shape-to-text:t">
              <w:txbxContent>
                <w:p w:rsidR="00AC7D7B" w:rsidRDefault="00AC7D7B" w:rsidP="006F39C3">
                  <w:r>
                    <w:t>58</w:t>
                  </w:r>
                </w:p>
              </w:txbxContent>
            </v:textbox>
          </v:shape>
        </w:pict>
      </w:r>
      <w:r w:rsidR="00197AA0" w:rsidRPr="00201277">
        <w:rPr>
          <w:rFonts w:ascii="Arial" w:hAnsi="Arial" w:cs="Arial"/>
          <w:sz w:val="22"/>
          <w:szCs w:val="22"/>
        </w:rPr>
        <w:t>Es frecuente que resulte bastante difícil una clara separación por el criterio de propiedad, porque habitualmente prevalecen formas mixtas. Además, en muchos casos, los propietarios de la infraestructura (por ejemplo, zona de agua, dársenas del puerto, rutas del tráfico) no son, al mismo tiempo, los propietarios de la superestructura (naves de almacén, grúas, medios de transporte terrestre).</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En muchos casos, la propiedad, la administración y la explotación de un puerto no están en una única mano. Esto ha llevado a múltiples formas de cooperación en la administración de un puerto, como por ejemplo, consejos, trust, juntas, puertos autónomos, por lo que la clasificación de los puertos por este criterio se hace más difícil.</w:t>
      </w:r>
    </w:p>
    <w:p w:rsidR="00197AA0" w:rsidRPr="00201277" w:rsidRDefault="00197AA0" w:rsidP="00232C32">
      <w:pPr>
        <w:pStyle w:val="NormalWeb"/>
        <w:spacing w:line="360" w:lineRule="auto"/>
        <w:ind w:right="44"/>
        <w:jc w:val="both"/>
        <w:rPr>
          <w:rStyle w:val="Textoennegrita"/>
          <w:rFonts w:ascii="Arial" w:hAnsi="Arial" w:cs="Arial"/>
          <w:b w:val="0"/>
          <w:sz w:val="22"/>
          <w:szCs w:val="22"/>
        </w:rPr>
      </w:pPr>
      <w:r w:rsidRPr="00201277">
        <w:rPr>
          <w:rStyle w:val="Textoennegrita"/>
          <w:rFonts w:ascii="Arial" w:hAnsi="Arial" w:cs="Arial"/>
          <w:b w:val="0"/>
          <w:sz w:val="22"/>
          <w:szCs w:val="22"/>
        </w:rPr>
        <w:t xml:space="preserve">6. Por el tipo de tráfico marítimo: </w:t>
      </w:r>
    </w:p>
    <w:p w:rsidR="00197AA0" w:rsidRPr="00201277" w:rsidRDefault="00197AA0" w:rsidP="00232C32">
      <w:pPr>
        <w:numPr>
          <w:ilvl w:val="0"/>
          <w:numId w:val="20"/>
        </w:numPr>
        <w:suppressAutoHyphens/>
        <w:spacing w:before="280" w:line="360" w:lineRule="auto"/>
        <w:ind w:right="44"/>
        <w:jc w:val="both"/>
        <w:rPr>
          <w:rFonts w:ascii="Arial" w:hAnsi="Arial" w:cs="Arial"/>
          <w:sz w:val="22"/>
          <w:szCs w:val="22"/>
        </w:rPr>
      </w:pPr>
      <w:r w:rsidRPr="00201277">
        <w:rPr>
          <w:rFonts w:ascii="Arial" w:hAnsi="Arial" w:cs="Arial"/>
          <w:sz w:val="22"/>
          <w:szCs w:val="22"/>
        </w:rPr>
        <w:t>Puerto de línea.</w:t>
      </w:r>
    </w:p>
    <w:p w:rsidR="00197AA0" w:rsidRPr="00201277" w:rsidRDefault="00197AA0" w:rsidP="00232C32">
      <w:pPr>
        <w:numPr>
          <w:ilvl w:val="0"/>
          <w:numId w:val="20"/>
        </w:numPr>
        <w:suppressAutoHyphens/>
        <w:spacing w:line="360" w:lineRule="auto"/>
        <w:ind w:right="44"/>
        <w:jc w:val="both"/>
        <w:rPr>
          <w:rFonts w:ascii="Arial" w:hAnsi="Arial" w:cs="Arial"/>
          <w:sz w:val="22"/>
          <w:szCs w:val="22"/>
        </w:rPr>
      </w:pPr>
      <w:r w:rsidRPr="00201277">
        <w:rPr>
          <w:rFonts w:ascii="Arial" w:hAnsi="Arial" w:cs="Arial"/>
          <w:sz w:val="22"/>
          <w:szCs w:val="22"/>
        </w:rPr>
        <w:t>Puerto tramp.</w:t>
      </w:r>
    </w:p>
    <w:p w:rsidR="00197AA0" w:rsidRPr="00201277" w:rsidRDefault="00197AA0" w:rsidP="00232C32">
      <w:pPr>
        <w:numPr>
          <w:ilvl w:val="0"/>
          <w:numId w:val="20"/>
        </w:numPr>
        <w:suppressAutoHyphens/>
        <w:spacing w:line="360" w:lineRule="auto"/>
        <w:ind w:right="44"/>
        <w:jc w:val="both"/>
        <w:rPr>
          <w:rFonts w:ascii="Arial" w:hAnsi="Arial" w:cs="Arial"/>
          <w:sz w:val="22"/>
          <w:szCs w:val="22"/>
        </w:rPr>
      </w:pPr>
      <w:r w:rsidRPr="00201277">
        <w:rPr>
          <w:rFonts w:ascii="Arial" w:hAnsi="Arial" w:cs="Arial"/>
          <w:sz w:val="22"/>
          <w:szCs w:val="22"/>
        </w:rPr>
        <w:t>Terminal.</w:t>
      </w:r>
    </w:p>
    <w:p w:rsidR="00197AA0" w:rsidRPr="00201277" w:rsidRDefault="00197AA0" w:rsidP="00232C32">
      <w:pPr>
        <w:numPr>
          <w:ilvl w:val="0"/>
          <w:numId w:val="20"/>
        </w:numPr>
        <w:suppressAutoHyphens/>
        <w:spacing w:after="280" w:line="360" w:lineRule="auto"/>
        <w:ind w:right="44"/>
        <w:jc w:val="both"/>
        <w:rPr>
          <w:rFonts w:ascii="Arial" w:hAnsi="Arial" w:cs="Arial"/>
          <w:sz w:val="22"/>
          <w:szCs w:val="22"/>
        </w:rPr>
      </w:pPr>
      <w:r w:rsidRPr="00201277">
        <w:rPr>
          <w:rFonts w:ascii="Arial" w:hAnsi="Arial" w:cs="Arial"/>
          <w:sz w:val="22"/>
          <w:szCs w:val="22"/>
        </w:rPr>
        <w:t>Intermedia o de tránsito.</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Para que un puerto sea clasificado como puerto de línea, se tiene que hacer escala en el mismo, dentro de un servicio de línea programado. Un servicio de línea programado se da cuando los viajes de ida y/o vuelta, pese al respectivo cambio de carga, se realizan dentro de una gama limitada de tráfico y de acuerdo a un programa. Si una de estas condiciones no se cumple, el puerto debe ser considerado puerto tramp, desde el punto de vista tipológico.</w:t>
      </w:r>
    </w:p>
    <w:p w:rsidR="00197AA0" w:rsidRPr="00201277" w:rsidRDefault="00197AA0" w:rsidP="00232C32">
      <w:pPr>
        <w:spacing w:line="360" w:lineRule="auto"/>
        <w:ind w:right="44"/>
        <w:jc w:val="both"/>
        <w:rPr>
          <w:rFonts w:ascii="Arial" w:hAnsi="Arial" w:cs="Arial"/>
          <w:b/>
          <w:sz w:val="22"/>
          <w:szCs w:val="22"/>
        </w:rPr>
      </w:pP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2.2 Historia de la actividad portuaria en El Salvador</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lastRenderedPageBreak/>
        <w:t xml:space="preserve">Dentro de este apartado es importante destacar como ha venido cobrando importancia el tema de los puertos en El Salvador, ya que desde la década de los años cincuenta se comenzó a desarrollar un creciente desarrollo económico en el país, que exigió la creación de un conjunto de instalaciones portuarias con el objetivo de mejorar y facilitar las exportaciones de productos salvadoreños hacia los diversos mercados internacionales, así como también la importación de mercancías en general.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207" type="#_x0000_t202" style="position:absolute;left:0;text-align:left;margin-left:229.5pt;margin-top:64.7pt;width:31.8pt;height:21pt;z-index:251836416;mso-height-percent:200;mso-height-percent:200;mso-width-relative:margin;mso-height-relative:margin" fillcolor="white [3212]" stroked="f">
            <v:textbox style="mso-next-textbox:#_x0000_s1207;mso-fit-shape-to-text:t">
              <w:txbxContent>
                <w:p w:rsidR="00663A0A" w:rsidRDefault="00663A0A" w:rsidP="00663A0A">
                  <w:r>
                    <w:t>59</w:t>
                  </w:r>
                </w:p>
              </w:txbxContent>
            </v:textbox>
          </v:shape>
        </w:pict>
      </w:r>
      <w:r>
        <w:rPr>
          <w:rFonts w:ascii="Arial" w:hAnsi="Arial" w:cs="Arial"/>
          <w:noProof/>
          <w:sz w:val="22"/>
          <w:szCs w:val="22"/>
        </w:rPr>
        <w:pict>
          <v:shape id="_x0000_s1106" type="#_x0000_t202" style="position:absolute;left:0;text-align:left;margin-left:216.55pt;margin-top:174.95pt;width:31.8pt;height:21pt;z-index:251734016;mso-height-percent:200;mso-height-percent:200;mso-width-relative:margin;mso-height-relative:margin" fillcolor="white [3212]" stroked="f">
            <v:textbox style="mso-next-textbox:#_x0000_s1106;mso-fit-shape-to-text:t">
              <w:txbxContent>
                <w:p w:rsidR="00AC7D7B" w:rsidRDefault="00AC7D7B" w:rsidP="006F39C3">
                  <w:r>
                    <w:t>59</w:t>
                  </w:r>
                </w:p>
              </w:txbxContent>
            </v:textbox>
          </v:shape>
        </w:pict>
      </w:r>
      <w:r w:rsidR="00197AA0" w:rsidRPr="00201277">
        <w:rPr>
          <w:rFonts w:ascii="Arial" w:hAnsi="Arial" w:cs="Arial"/>
          <w:sz w:val="22"/>
          <w:szCs w:val="22"/>
        </w:rPr>
        <w:t>Así mismo es necesario remontarse un poco a la historia y conocer una de las razones por las cuales se crearon los puertos, principalmente es importante destacar que el país fue muy conocido internacionalmente por ser un país agroexportador específicamente por el cultivo del café, en este sentido cabe resaltar que el café marcaba el motor de la economía nacional de El Salvador, ya que el 95% de las exportaciones del país correspondían al café sus principales compradores eran Estados Unidos y Europa. A partir de 1929 el café se encontraba en el mercado internacional a precios muy debajo del costo de producción, ante esta situación miles de sacos de café se encontraban acumulados en las bodegas dispuestos a exportarse, aunado a esto se presentó el costo del transporte que resultaba tan caro para entregar el producto a los clientes de Alemania, Francia, Estados Unidos, esto dificultaba competir con otros proveedores, y esta es la razón por la cual se crearon los Puertos de Acajutla, La Libertad, y La Unión, para poder exportar más fácilmente a través de la vía marítima y así reducir los costos de exportación a raíz de la construcción de los puertos, ante esta situación el país se vio obligado a crear una red de caminos para ingresar y así mismo vincular las regiones central y occidental</w:t>
      </w:r>
      <w:r w:rsidR="00197AA0" w:rsidRPr="00201277">
        <w:rPr>
          <w:rStyle w:val="Refdenotaalpie"/>
          <w:rFonts w:ascii="Arial" w:hAnsi="Arial" w:cs="Arial"/>
          <w:sz w:val="22"/>
          <w:szCs w:val="22"/>
        </w:rPr>
        <w:footnoteReference w:id="105"/>
      </w:r>
      <w:r w:rsidR="00197AA0"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Ante este breve escenario es importante mencionar la institución que  se creó para hacer frente a  la administración de los puertos, y es por este motivo que se creó  la Comisión Ejecutiva del Puerto de Acajutla el 28 de mayo de 1952, con el apoyo del Gobierno de El Salvador, así como también de los diferentes sectores económicos del país. En 1961 se inauguró el muelle A, su funcionamiento y administración fue todo un éxito y los intercambios comerciales y la competencia económica siguieron en aumento, obligando a diversificar los servicios.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lastRenderedPageBreak/>
        <w:t xml:space="preserve">En 1965 se decidió ampliar las facultades de la institución, concediéndole la administración, explotación y dirección de ferrocarriles nacionales de El Salvador (FENADESAL), incluido el Puerto de Cutuco, convirtiéndose de esta manera en la actual Comisión Ejecutiva Portuaria (CEPA), esta misma se creó  como una institución de servicio público, con personería jurídica y patrimonio propio. En 1970 CEPA inauguró en el Puerto de Acajutla el muelle B, y en 1975 se completó el proyecto de ampliación del puerto, con la inauguración del muelle C. Desde entonces cuenta con ocho atracaderos distribuidos en tres modernos muelles, equipados para el arribo de todo tipo de buques.  </w:t>
      </w:r>
    </w:p>
    <w:p w:rsidR="00197AA0" w:rsidRPr="00201277"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07" type="#_x0000_t202" style="position:absolute;left:0;text-align:left;margin-left:173.55pt;margin-top:78.95pt;width:31.8pt;height:21pt;z-index:251735040;mso-height-percent:200;mso-height-percent:200;mso-width-relative:margin;mso-height-relative:margin" fillcolor="white [3212]" stroked="f">
            <v:textbox style="mso-next-textbox:#_x0000_s1107;mso-fit-shape-to-text:t">
              <w:txbxContent>
                <w:p w:rsidR="00AC7D7B" w:rsidRPr="006F39C3" w:rsidRDefault="00AC7D7B" w:rsidP="006F39C3">
                  <w:r>
                    <w:t>60</w:t>
                  </w:r>
                </w:p>
              </w:txbxContent>
            </v:textbox>
          </v:shape>
        </w:pict>
      </w: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Debido a la experiencia demostrada por CEPA, para desarrollar proyectos en el área de transporte de gran envergadura, el Gobierno de El Salvador le encomendó en 1974, la construcción, administración del Aeropuerto Internacional de El Salvador, el cual inició operaciones en enero de 1980, actualmente es importante destacar que CEPA es responsable de administrar las operaciones de los Puertos de Acajutla y La Unión así como los Ferrocarriles Nacionales de El Salvador (FENADESAL) que son propiedad del Estado. Además de las facultades que le fueron otorgadas a dicha institución es importante mencionar que los puertos se comenzaron a construir como estructuras estratégicas de seguridad nacional, así como puntos de referencia dentro de la actividad económica de un país, todo como el fin de poder convertir al país en un centro logístico de distribución de carga, con valor agregado y con ello contribuir al mismo tiempo en el cumplimiento de los planes de nación.    </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Ante esta breve reseña histórica se describirá de manera más detallada y explícita los puertos más importantes de El Salvador que anteriormente se hicieron mención, tales como el Puerto Acajutla, y el Puerto de la Unión. </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2.2.1 Puerto de Acajutla</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El Puerto de Acajutla, está ubicado en el departamento de Sonsonate en la zona occidental del país, a 103 kilómetros de la ciudad capital, San Salvador.</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Es importante describir la historia de este puerto que ha sido tan importante para la historia de El Salvador. El 8 de junio de 1524 se dio una de las batallas más sangrientas de la conquista española, donde el ejército pipil fue masacrado bajo las manos de Pedro </w:t>
      </w:r>
      <w:r w:rsidRPr="00201277">
        <w:rPr>
          <w:rFonts w:ascii="Arial" w:hAnsi="Arial" w:cs="Arial"/>
          <w:sz w:val="22"/>
          <w:szCs w:val="22"/>
        </w:rPr>
        <w:lastRenderedPageBreak/>
        <w:t>de Alvarado, quien a su vez era comandado por Hernán Cortes, quienes ya anteriormente habían conquistado México y Guatemala. Cabe destacar que si bien es cierto los españoles ganaron la batalla, no fue nada fácil para ellos, ya que sufrieron muchas bajas e incluso Pedro de Alvarado resultó gravemente herido de una de sus piernas, quedando cojo de por vida.</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08" type="#_x0000_t202" style="position:absolute;left:0;text-align:left;margin-left:213.15pt;margin-top:84.95pt;width:31.8pt;height:21pt;z-index:251736064;mso-height-percent:200;mso-height-percent:200;mso-width-relative:margin;mso-height-relative:margin" fillcolor="white [3212]" stroked="f">
            <v:textbox style="mso-next-textbox:#_x0000_s1108;mso-fit-shape-to-text:t">
              <w:txbxContent>
                <w:p w:rsidR="00AC7D7B" w:rsidRDefault="00AC7D7B" w:rsidP="006F39C3">
                  <w:r>
                    <w:t>61</w:t>
                  </w:r>
                </w:p>
              </w:txbxContent>
            </v:textbox>
          </v:shape>
        </w:pict>
      </w:r>
      <w:r w:rsidR="00197AA0" w:rsidRPr="00201277">
        <w:rPr>
          <w:rFonts w:ascii="Arial" w:hAnsi="Arial" w:cs="Arial"/>
          <w:sz w:val="22"/>
          <w:szCs w:val="22"/>
        </w:rPr>
        <w:t>Así fue como se convirtió en un importante puerto colonial español. Después de completado el proceso de independencia de El Salvador, para el año 1838, la economía nacional se volvió altamente dependiente de la creciente exportación del café. El rápido crecimiento de esta lucrativa cosecha, propició profundos cambios socio-económicos en la región y atrajo el interés de inversionistas extranjeros y dueños de plantaciones locales. El desarrollo de la infraestructura del puerto fue considerado necesario para asegurar el transporte de cosechas desde el interior hasta ser cargadas eficientemente en los barcos.</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Este puerto conocido en las antiguas cartas marinas con el nombre de San Luis de Acajutla, fue descubierto por Don Pedro de Alvarado el año de 1524. Este y el Realejo fueron los únicos puertos que el Gobierno Español permitió que estuvieran abiertos al comercio del mar pacífico, a lo que ahora es Centroamérica</w:t>
      </w:r>
      <w:r w:rsidRPr="00201277">
        <w:rPr>
          <w:rStyle w:val="Refdenotaalpie"/>
          <w:rFonts w:ascii="Arial" w:hAnsi="Arial" w:cs="Arial"/>
          <w:sz w:val="22"/>
          <w:szCs w:val="22"/>
        </w:rPr>
        <w:footnoteReference w:id="106"/>
      </w:r>
      <w:r w:rsidRPr="00201277">
        <w:rPr>
          <w:rFonts w:ascii="Arial" w:hAnsi="Arial" w:cs="Arial"/>
          <w:sz w:val="22"/>
          <w:szCs w:val="22"/>
        </w:rPr>
        <w:t>.</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Ya en tiempos más modernos del siglo XX, más específicamente en la década de los años cincuenta, el creciente desarrollo económico en El Salvador exigió la creación de un conjunto de instalaciones portuarias, para facilitar la exportación de productos salvadoreños a los mercados internacionales, así como la importación de mercaderías</w:t>
      </w:r>
      <w:r w:rsidRPr="00201277">
        <w:rPr>
          <w:rFonts w:ascii="Arial" w:hAnsi="Arial" w:cs="Arial"/>
          <w:color w:val="333333"/>
          <w:sz w:val="22"/>
          <w:szCs w:val="22"/>
        </w:rPr>
        <w:t xml:space="preserve">. </w:t>
      </w:r>
      <w:r w:rsidRPr="00201277">
        <w:rPr>
          <w:rFonts w:ascii="Arial" w:hAnsi="Arial" w:cs="Arial"/>
          <w:sz w:val="22"/>
          <w:szCs w:val="22"/>
        </w:rPr>
        <w:t>En virtud de lo anterior, el 28 de mayo de 1952, se creó la Comisión Ejecutiva del Puerto de Acajutla, gracias al apoyo y participación del Gobierno de la República y de los diferentes sectores económicos del país</w:t>
      </w:r>
      <w:r w:rsidRPr="00201277">
        <w:rPr>
          <w:rStyle w:val="Refdenotaalpie"/>
          <w:rFonts w:ascii="Arial" w:hAnsi="Arial" w:cs="Arial"/>
          <w:sz w:val="22"/>
          <w:szCs w:val="22"/>
        </w:rPr>
        <w:footnoteReference w:id="107"/>
      </w:r>
      <w:r w:rsidRPr="00201277">
        <w:rPr>
          <w:rFonts w:ascii="Arial" w:hAnsi="Arial" w:cs="Arial"/>
          <w:sz w:val="22"/>
          <w:szCs w:val="22"/>
        </w:rPr>
        <w:t>.</w:t>
      </w:r>
    </w:p>
    <w:p w:rsidR="00197AA0" w:rsidRPr="00201277" w:rsidRDefault="00197AA0" w:rsidP="00232C32">
      <w:pPr>
        <w:pStyle w:val="Default"/>
        <w:spacing w:line="360" w:lineRule="auto"/>
        <w:ind w:right="44" w:firstLine="567"/>
        <w:jc w:val="both"/>
        <w:rPr>
          <w:sz w:val="22"/>
          <w:szCs w:val="22"/>
        </w:rPr>
      </w:pPr>
      <w:r w:rsidRPr="00201277">
        <w:rPr>
          <w:sz w:val="22"/>
          <w:szCs w:val="22"/>
        </w:rPr>
        <w:t xml:space="preserve">Dentro de sus características físicas cabe mencionar que en él, se puede identificar una estructura de espigón de acceso, el cual posee tres muelles denominados A, B y C. A lo largo del espigón de acceso y del muelle B, están instalados los equipos especializados para gráneles, cuenta con una unidad de carga y descarga y una banda transportadora para importación y exportación. Adicionalmente dispone de un sistema de </w:t>
      </w:r>
      <w:r w:rsidRPr="00201277">
        <w:rPr>
          <w:sz w:val="22"/>
          <w:szCs w:val="22"/>
        </w:rPr>
        <w:lastRenderedPageBreak/>
        <w:t xml:space="preserve">boyas utilizado para el atraque de buques-tanque que abastecen las refinerías de ESSO y SHELL, con capacidad de atender buques de 12 metros de calado. </w:t>
      </w:r>
    </w:p>
    <w:p w:rsidR="00197AA0" w:rsidRPr="00201277" w:rsidRDefault="00197AA0" w:rsidP="00232C32">
      <w:pPr>
        <w:pStyle w:val="Default"/>
        <w:spacing w:line="360" w:lineRule="auto"/>
        <w:ind w:right="44" w:firstLine="567"/>
        <w:jc w:val="both"/>
        <w:rPr>
          <w:sz w:val="22"/>
          <w:szCs w:val="22"/>
        </w:rPr>
      </w:pPr>
    </w:p>
    <w:p w:rsidR="00197AA0" w:rsidRPr="00201277" w:rsidRDefault="00197AA0" w:rsidP="00232C32">
      <w:pPr>
        <w:pStyle w:val="Default"/>
        <w:spacing w:line="360" w:lineRule="auto"/>
        <w:ind w:right="44" w:firstLine="567"/>
        <w:jc w:val="both"/>
        <w:rPr>
          <w:sz w:val="22"/>
          <w:szCs w:val="22"/>
        </w:rPr>
      </w:pPr>
      <w:r w:rsidRPr="00201277">
        <w:rPr>
          <w:sz w:val="22"/>
          <w:szCs w:val="22"/>
        </w:rPr>
        <w:t>El puerto posee una extensión total de terrenos de 158 manzanas, en ellos cuenta con</w:t>
      </w:r>
      <w:r w:rsidRPr="00201277">
        <w:rPr>
          <w:rStyle w:val="Refdenotaalpie"/>
          <w:rFonts w:cs="Arial"/>
          <w:sz w:val="22"/>
          <w:szCs w:val="22"/>
        </w:rPr>
        <w:footnoteReference w:id="108"/>
      </w:r>
      <w:r w:rsidRPr="00201277">
        <w:rPr>
          <w:sz w:val="22"/>
          <w:szCs w:val="22"/>
        </w:rPr>
        <w:t xml:space="preserve">: </w:t>
      </w:r>
    </w:p>
    <w:p w:rsidR="00197AA0" w:rsidRPr="00201277" w:rsidRDefault="00197AA0" w:rsidP="00232C32">
      <w:pPr>
        <w:pStyle w:val="Default"/>
        <w:spacing w:line="360" w:lineRule="auto"/>
        <w:ind w:right="44"/>
        <w:jc w:val="both"/>
        <w:rPr>
          <w:sz w:val="22"/>
          <w:szCs w:val="22"/>
        </w:rPr>
      </w:pPr>
    </w:p>
    <w:p w:rsidR="00197AA0" w:rsidRPr="00201277" w:rsidRDefault="001D7573" w:rsidP="00232C32">
      <w:pPr>
        <w:pStyle w:val="Default"/>
        <w:spacing w:line="360" w:lineRule="auto"/>
        <w:ind w:right="44"/>
        <w:jc w:val="both"/>
        <w:rPr>
          <w:sz w:val="22"/>
          <w:szCs w:val="22"/>
        </w:rPr>
      </w:pPr>
      <w:r>
        <w:rPr>
          <w:noProof/>
          <w:sz w:val="22"/>
          <w:szCs w:val="22"/>
          <w:lang w:eastAsia="es-ES"/>
        </w:rPr>
        <w:pict>
          <v:shape id="_x0000_s1109" type="#_x0000_t202" style="position:absolute;left:0;text-align:left;margin-left:187.95pt;margin-top:136.65pt;width:31.8pt;height:21pt;z-index:251737088;mso-height-percent:200;mso-height-percent:200;mso-width-relative:margin;mso-height-relative:margin" fillcolor="white [3212]" stroked="f">
            <v:textbox style="mso-next-textbox:#_x0000_s1109;mso-fit-shape-to-text:t">
              <w:txbxContent>
                <w:p w:rsidR="00AC7D7B" w:rsidRDefault="00AC7D7B" w:rsidP="006F39C3">
                  <w:r>
                    <w:t>62</w:t>
                  </w:r>
                </w:p>
              </w:txbxContent>
            </v:textbox>
          </v:shape>
        </w:pict>
      </w:r>
      <w:r w:rsidR="00197AA0" w:rsidRPr="00201277">
        <w:rPr>
          <w:sz w:val="22"/>
          <w:szCs w:val="22"/>
        </w:rPr>
        <w:t xml:space="preserve">Muelles: </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bCs/>
          <w:sz w:val="22"/>
          <w:szCs w:val="22"/>
        </w:rPr>
        <w:t xml:space="preserve">a) Muelle A: </w:t>
      </w:r>
      <w:r w:rsidRPr="00201277">
        <w:rPr>
          <w:rFonts w:ascii="Arial" w:hAnsi="Arial" w:cs="Arial"/>
          <w:sz w:val="22"/>
          <w:szCs w:val="22"/>
        </w:rPr>
        <w:t xml:space="preserve">Es un Muelle multipropósito, con un frente de atraque de 321 metros y un área para circulación de vehículos y manejo de carga de 11,585 metros cuadrados, con un calado mínimo de 8.84 metros y un máximo de 10.36 metros; medidas en el nivel mínimo de la marea baja. </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bCs/>
          <w:sz w:val="22"/>
          <w:szCs w:val="22"/>
        </w:rPr>
        <w:t xml:space="preserve">b) Muelle B: </w:t>
      </w:r>
      <w:r w:rsidRPr="00201277">
        <w:rPr>
          <w:rFonts w:ascii="Arial" w:hAnsi="Arial" w:cs="Arial"/>
          <w:sz w:val="22"/>
          <w:szCs w:val="22"/>
        </w:rPr>
        <w:t>Muelle especializado para el manejo de gráneles sólidos, con un frente de atraque en el lado sur de 318 metros, con una profundidad mínima de 8.23 metros y una máxima de 10.50 metros, medidos en el nivel mínimo de la marea baja; en el lado norte, posee un frente de atraque de 348 metros con una profundidad mínima de 7.01 metros y una máxima de 9.45 metros, también medidos en el nivel mínimo de la marea baja. Este muelle posee una grúa y un sistema de bandas transportadoras para el manejo de gráneles, utilizando el frente sur para la importación y la exportación, y el frente norte únicamente para la exportación; éste último frente de atraque también es utilizado para el manejo de contenedores y carga general.</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bCs/>
          <w:sz w:val="22"/>
          <w:szCs w:val="22"/>
        </w:rPr>
        <w:t>c) Muelle C</w:t>
      </w:r>
      <w:r w:rsidRPr="00201277">
        <w:rPr>
          <w:rFonts w:ascii="Arial" w:hAnsi="Arial" w:cs="Arial"/>
          <w:b/>
          <w:bCs/>
          <w:sz w:val="22"/>
          <w:szCs w:val="22"/>
        </w:rPr>
        <w:t xml:space="preserve">: </w:t>
      </w:r>
      <w:r w:rsidRPr="00201277">
        <w:rPr>
          <w:rFonts w:ascii="Arial" w:hAnsi="Arial" w:cs="Arial"/>
          <w:sz w:val="22"/>
          <w:szCs w:val="22"/>
        </w:rPr>
        <w:t>Muelle multipropósito con un frente de atraque de 280 metros y con una profundidad mínima de 11.89 metros, una máxima de 14.93 metros; medidos en el nivel mínimo de la marea baja.</w:t>
      </w:r>
    </w:p>
    <w:p w:rsidR="00197AA0" w:rsidRPr="00201277" w:rsidRDefault="00197AA0" w:rsidP="00232C32">
      <w:pPr>
        <w:pStyle w:val="NormalWeb"/>
        <w:spacing w:line="360" w:lineRule="auto"/>
        <w:ind w:right="44"/>
        <w:jc w:val="both"/>
        <w:rPr>
          <w:rFonts w:ascii="Arial" w:hAnsi="Arial" w:cs="Arial"/>
          <w:bCs/>
          <w:sz w:val="22"/>
          <w:szCs w:val="22"/>
        </w:rPr>
      </w:pPr>
      <w:r w:rsidRPr="00201277">
        <w:rPr>
          <w:rFonts w:ascii="Arial" w:hAnsi="Arial" w:cs="Arial"/>
          <w:bCs/>
          <w:sz w:val="22"/>
          <w:szCs w:val="22"/>
        </w:rPr>
        <w:t xml:space="preserve">Áreas de Almacenamiento: </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bCs/>
          <w:sz w:val="22"/>
          <w:szCs w:val="22"/>
        </w:rPr>
        <w:t xml:space="preserve">a) Bodegas para almacenamiento de carga general: </w:t>
      </w:r>
      <w:r w:rsidRPr="00201277">
        <w:rPr>
          <w:rFonts w:ascii="Arial" w:hAnsi="Arial" w:cs="Arial"/>
          <w:sz w:val="22"/>
          <w:szCs w:val="22"/>
        </w:rPr>
        <w:t>Se cuenta con un área techada de 26,300 metros cuadrados para almacenar hasta 113,900 toneladas métricas de productos varios.</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bCs/>
          <w:sz w:val="22"/>
          <w:szCs w:val="22"/>
        </w:rPr>
        <w:lastRenderedPageBreak/>
        <w:t xml:space="preserve">b) Bodega para el almacenamiento de gráneles sólidos para exportación: </w:t>
      </w:r>
      <w:r w:rsidRPr="00201277">
        <w:rPr>
          <w:rFonts w:ascii="Arial" w:hAnsi="Arial" w:cs="Arial"/>
          <w:sz w:val="22"/>
          <w:szCs w:val="22"/>
        </w:rPr>
        <w:t>Se posee un área techada de 2,400 metros cuadrados con una capacidad de 12,000 toneladas métricas, la misma está equipada con un sistema de transportadores para el manejo de la carga.</w:t>
      </w:r>
    </w:p>
    <w:p w:rsidR="00197AA0" w:rsidRPr="00201277" w:rsidRDefault="001D7573" w:rsidP="00232C32">
      <w:pPr>
        <w:pStyle w:val="NormalWeb"/>
        <w:spacing w:line="360" w:lineRule="auto"/>
        <w:ind w:right="44"/>
        <w:jc w:val="both"/>
        <w:rPr>
          <w:rFonts w:ascii="Arial" w:hAnsi="Arial" w:cs="Arial"/>
          <w:sz w:val="22"/>
          <w:szCs w:val="22"/>
        </w:rPr>
      </w:pPr>
      <w:r>
        <w:rPr>
          <w:rFonts w:ascii="Arial" w:hAnsi="Arial" w:cs="Arial"/>
          <w:noProof/>
          <w:sz w:val="22"/>
          <w:szCs w:val="22"/>
          <w:lang w:eastAsia="es-ES"/>
        </w:rPr>
        <w:pict>
          <v:shape id="_x0000_s1110" type="#_x0000_t202" style="position:absolute;left:0;text-align:left;margin-left:191.55pt;margin-top:129pt;width:31.8pt;height:21pt;z-index:251738112;mso-height-percent:200;mso-height-percent:200;mso-width-relative:margin;mso-height-relative:margin" fillcolor="white [3212]" stroked="f">
            <v:textbox style="mso-next-textbox:#_x0000_s1110;mso-fit-shape-to-text:t">
              <w:txbxContent>
                <w:p w:rsidR="00AC7D7B" w:rsidRDefault="00AC7D7B" w:rsidP="006F39C3">
                  <w:r>
                    <w:t>63</w:t>
                  </w:r>
                </w:p>
              </w:txbxContent>
            </v:textbox>
          </v:shape>
        </w:pict>
      </w:r>
      <w:r w:rsidR="00197AA0" w:rsidRPr="00201277">
        <w:rPr>
          <w:rFonts w:ascii="Arial" w:hAnsi="Arial" w:cs="Arial"/>
          <w:bCs/>
          <w:sz w:val="22"/>
          <w:szCs w:val="22"/>
        </w:rPr>
        <w:t xml:space="preserve">c) Bodega para el almacenamiento de gráneles sólidos de importación: </w:t>
      </w:r>
      <w:r w:rsidR="00197AA0" w:rsidRPr="00201277">
        <w:rPr>
          <w:rFonts w:ascii="Arial" w:hAnsi="Arial" w:cs="Arial"/>
          <w:sz w:val="22"/>
          <w:szCs w:val="22"/>
        </w:rPr>
        <w:t xml:space="preserve">Posee un área techada de 2,500 metros cuadrados y una capacidad de 18,000 toneladas métricas, distribuidas en 6 bines de 1,000 TM cada uno y otros 6 de 2,000 TM cada uno. Dicha bodega está equipada con un sistema de bandas transportadoras. </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bCs/>
          <w:sz w:val="22"/>
          <w:szCs w:val="22"/>
        </w:rPr>
        <w:t xml:space="preserve">d) Patio de vehículos: </w:t>
      </w:r>
      <w:r w:rsidRPr="00201277">
        <w:rPr>
          <w:rFonts w:ascii="Arial" w:hAnsi="Arial" w:cs="Arial"/>
          <w:sz w:val="22"/>
          <w:szCs w:val="22"/>
        </w:rPr>
        <w:t xml:space="preserve">Cuenta con un área de 39,800 metros cuadrados y una capacidad de almacenamiento de hasta  2,000 vehículos. </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bCs/>
          <w:sz w:val="22"/>
          <w:szCs w:val="22"/>
        </w:rPr>
        <w:t xml:space="preserve">e) Patio de contenedores: </w:t>
      </w:r>
      <w:r w:rsidRPr="00201277">
        <w:rPr>
          <w:rFonts w:ascii="Arial" w:hAnsi="Arial" w:cs="Arial"/>
          <w:sz w:val="22"/>
          <w:szCs w:val="22"/>
        </w:rPr>
        <w:t>Con un área de 48,000 metros cuadrados con una capacidad de 3,400 TEUS, estibados a tres niveles.</w:t>
      </w:r>
    </w:p>
    <w:p w:rsidR="00197AA0" w:rsidRPr="00201277" w:rsidRDefault="00197AA0" w:rsidP="00232C32">
      <w:pPr>
        <w:pStyle w:val="NormalWeb"/>
        <w:spacing w:line="360" w:lineRule="auto"/>
        <w:ind w:right="44"/>
        <w:jc w:val="both"/>
        <w:rPr>
          <w:rFonts w:ascii="Arial" w:hAnsi="Arial" w:cs="Arial"/>
          <w:bCs/>
          <w:sz w:val="22"/>
          <w:szCs w:val="22"/>
        </w:rPr>
      </w:pPr>
      <w:r w:rsidRPr="00201277">
        <w:rPr>
          <w:rFonts w:ascii="Arial" w:hAnsi="Arial" w:cs="Arial"/>
          <w:bCs/>
          <w:sz w:val="22"/>
          <w:szCs w:val="22"/>
        </w:rPr>
        <w:t xml:space="preserve">Básculas: </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bCs/>
          <w:sz w:val="22"/>
          <w:szCs w:val="22"/>
        </w:rPr>
        <w:t xml:space="preserve">a) 13 básculas mecánicas de piso y 4 mecánicas rodantes: </w:t>
      </w:r>
      <w:r w:rsidRPr="00201277">
        <w:rPr>
          <w:rFonts w:ascii="Arial" w:hAnsi="Arial" w:cs="Arial"/>
          <w:sz w:val="22"/>
          <w:szCs w:val="22"/>
        </w:rPr>
        <w:t xml:space="preserve">Utilizadas para el pesaje de mercadería paletizada o suelta, con capacidades de hasta 3,000 kilogramos. </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bCs/>
          <w:sz w:val="22"/>
          <w:szCs w:val="22"/>
        </w:rPr>
        <w:t>b) 4 Básculas Digitales de Puente pesa camiones:</w:t>
      </w:r>
      <w:r w:rsidRPr="00201277">
        <w:rPr>
          <w:rFonts w:ascii="Arial" w:hAnsi="Arial" w:cs="Arial"/>
          <w:b/>
          <w:bCs/>
          <w:sz w:val="22"/>
          <w:szCs w:val="22"/>
        </w:rPr>
        <w:t xml:space="preserve"> </w:t>
      </w:r>
      <w:r w:rsidRPr="00201277">
        <w:rPr>
          <w:rFonts w:ascii="Arial" w:hAnsi="Arial" w:cs="Arial"/>
          <w:sz w:val="22"/>
          <w:szCs w:val="22"/>
        </w:rPr>
        <w:t>Utilizadas para el pesaje de las mercaderías que transportan los camiones, con plataformas de 10 por 60 pies aproximadamente y capacidades de 50 toneladas.</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Ahora que ya hemos visto la extensión con la que cuenta el Puerto de Acajutla, así como también sus muelles, áreas de estacionamiento y básculas; es importante tener una idea amplia de qué otro tipo de equipos son con los que cuenta el puerto. Es de esta manera como se destacan la unidad de carga y las bandas transportadoras que están compuestas de una grúa de pórtico de aproximadamente 430 toneladas de peso, que posee dispositivos que le permiten la descarga de materiales sólidos a granel de los barcos, por medio de una almeja y la carga por medio de un brazo con banda transportadora y mecanismo apilador para lanzar el producto a las bodegas del barco. Los productos son transportados normalmente a través de bandas transportadoras a razón de hasta 500 toneladas/hora; además, la grúa cuenta con un gancho para la </w:t>
      </w:r>
      <w:r w:rsidRPr="00201277">
        <w:rPr>
          <w:rFonts w:ascii="Arial" w:hAnsi="Arial" w:cs="Arial"/>
          <w:sz w:val="22"/>
          <w:szCs w:val="22"/>
        </w:rPr>
        <w:lastRenderedPageBreak/>
        <w:t>movilización de carga general o contenedores de hasta 25 toneladas. La grúa trabaja con energía eléctrica de 2,400 voltios y se moviliza a lo largo del muelle B sobre rieles</w:t>
      </w:r>
      <w:r w:rsidRPr="00201277">
        <w:rPr>
          <w:rStyle w:val="Refdenotaalpie"/>
          <w:rFonts w:ascii="Arial" w:hAnsi="Arial" w:cs="Arial"/>
          <w:sz w:val="22"/>
          <w:szCs w:val="22"/>
        </w:rPr>
        <w:footnoteReference w:id="109"/>
      </w:r>
      <w:r w:rsidRPr="00201277">
        <w:rPr>
          <w:rFonts w:ascii="Arial" w:hAnsi="Arial" w:cs="Arial"/>
          <w:sz w:val="22"/>
          <w:szCs w:val="22"/>
        </w:rPr>
        <w:t>.</w:t>
      </w:r>
    </w:p>
    <w:p w:rsidR="00197AA0" w:rsidRPr="00201277" w:rsidRDefault="00197AA0" w:rsidP="00232C32">
      <w:pPr>
        <w:pStyle w:val="NormalWeb"/>
        <w:spacing w:line="360" w:lineRule="auto"/>
        <w:ind w:right="44"/>
        <w:jc w:val="both"/>
        <w:rPr>
          <w:rFonts w:ascii="Arial" w:hAnsi="Arial" w:cs="Arial"/>
          <w:sz w:val="22"/>
          <w:szCs w:val="22"/>
        </w:rPr>
      </w:pPr>
      <w:r w:rsidRPr="00201277">
        <w:rPr>
          <w:rFonts w:ascii="Arial" w:hAnsi="Arial" w:cs="Arial"/>
          <w:sz w:val="22"/>
          <w:szCs w:val="22"/>
        </w:rPr>
        <w:t>También este Puerto cuenta con los siguientes remolcadores</w:t>
      </w:r>
      <w:r w:rsidRPr="00201277">
        <w:rPr>
          <w:rStyle w:val="Refdenotaalpie"/>
          <w:rFonts w:ascii="Arial" w:hAnsi="Arial" w:cs="Arial"/>
          <w:sz w:val="22"/>
          <w:szCs w:val="22"/>
        </w:rPr>
        <w:footnoteReference w:id="110"/>
      </w:r>
      <w:r w:rsidRPr="00201277">
        <w:rPr>
          <w:rFonts w:ascii="Arial" w:hAnsi="Arial" w:cs="Arial"/>
          <w:sz w:val="22"/>
          <w:szCs w:val="22"/>
        </w:rPr>
        <w:t>:</w:t>
      </w:r>
    </w:p>
    <w:p w:rsidR="00197AA0" w:rsidRPr="00201277" w:rsidRDefault="00197AA0" w:rsidP="00232C32">
      <w:pPr>
        <w:pStyle w:val="NormalWeb"/>
        <w:spacing w:line="360" w:lineRule="auto"/>
        <w:ind w:right="44"/>
        <w:jc w:val="both"/>
        <w:rPr>
          <w:rFonts w:ascii="Arial" w:hAnsi="Arial" w:cs="Arial"/>
          <w:b/>
          <w:sz w:val="22"/>
          <w:szCs w:val="22"/>
        </w:rPr>
      </w:pPr>
      <w:r w:rsidRPr="00201277">
        <w:rPr>
          <w:rFonts w:ascii="Arial" w:hAnsi="Arial" w:cs="Arial"/>
          <w:b/>
          <w:sz w:val="22"/>
          <w:szCs w:val="22"/>
        </w:rPr>
        <w:t>Tabla 2.3 Remolcadores con los que cuenta el Puerto de Acajutla</w:t>
      </w:r>
    </w:p>
    <w:tbl>
      <w:tblPr>
        <w:tblW w:w="0" w:type="auto"/>
        <w:tblInd w:w="-5" w:type="dxa"/>
        <w:tblLayout w:type="fixed"/>
        <w:tblLook w:val="0000"/>
      </w:tblPr>
      <w:tblGrid>
        <w:gridCol w:w="2628"/>
        <w:gridCol w:w="6026"/>
      </w:tblGrid>
      <w:tr w:rsidR="00197AA0" w:rsidTr="00232C32">
        <w:tc>
          <w:tcPr>
            <w:tcW w:w="2628" w:type="dxa"/>
            <w:tcBorders>
              <w:top w:val="single" w:sz="4" w:space="0" w:color="000000"/>
              <w:left w:val="single" w:sz="4" w:space="0" w:color="000000"/>
              <w:bottom w:val="single" w:sz="4" w:space="0" w:color="000000"/>
              <w:right w:val="nil"/>
            </w:tcBorders>
          </w:tcPr>
          <w:p w:rsidR="00197AA0" w:rsidRDefault="00197AA0">
            <w:pPr>
              <w:pStyle w:val="NormalWeb"/>
              <w:snapToGrid w:val="0"/>
              <w:spacing w:line="360" w:lineRule="auto"/>
              <w:ind w:right="44"/>
              <w:jc w:val="both"/>
              <w:rPr>
                <w:rFonts w:ascii="Arial" w:hAnsi="Arial" w:cs="Arial"/>
                <w:b/>
                <w:sz w:val="18"/>
                <w:szCs w:val="18"/>
              </w:rPr>
            </w:pPr>
            <w:r>
              <w:rPr>
                <w:rFonts w:ascii="Arial" w:hAnsi="Arial" w:cs="Arial"/>
                <w:b/>
                <w:sz w:val="18"/>
                <w:szCs w:val="18"/>
              </w:rPr>
              <w:t>Cuscatlán</w:t>
            </w:r>
          </w:p>
        </w:tc>
        <w:tc>
          <w:tcPr>
            <w:tcW w:w="6026" w:type="dxa"/>
            <w:tcBorders>
              <w:top w:val="single" w:sz="4" w:space="0" w:color="000000"/>
              <w:left w:val="single" w:sz="4" w:space="0" w:color="000000"/>
              <w:bottom w:val="single" w:sz="4" w:space="0" w:color="000000"/>
              <w:right w:val="single" w:sz="4" w:space="0" w:color="000000"/>
            </w:tcBorders>
          </w:tcPr>
          <w:p w:rsidR="00197AA0" w:rsidRDefault="001D7573">
            <w:pPr>
              <w:pStyle w:val="NormalWeb"/>
              <w:snapToGrid w:val="0"/>
              <w:spacing w:line="360" w:lineRule="auto"/>
              <w:ind w:right="44"/>
              <w:jc w:val="both"/>
              <w:rPr>
                <w:rFonts w:ascii="Arial" w:hAnsi="Arial" w:cs="Arial"/>
                <w:sz w:val="18"/>
                <w:szCs w:val="18"/>
              </w:rPr>
            </w:pPr>
            <w:r w:rsidRPr="001D7573">
              <w:rPr>
                <w:rFonts w:ascii="Arial" w:hAnsi="Arial" w:cs="Arial"/>
                <w:b/>
                <w:noProof/>
                <w:sz w:val="18"/>
                <w:szCs w:val="18"/>
                <w:lang w:eastAsia="es-ES"/>
              </w:rPr>
              <w:pict>
                <v:shape id="_x0000_s1111" type="#_x0000_t202" style="position:absolute;left:0;text-align:left;margin-left:47.9pt;margin-top:91.5pt;width:31.8pt;height:21pt;z-index:251739136;mso-height-percent:200;mso-position-horizontal-relative:text;mso-position-vertical-relative:text;mso-height-percent:200;mso-width-relative:margin;mso-height-relative:margin" fillcolor="white [3212]" stroked="f">
                  <v:textbox style="mso-next-textbox:#_x0000_s1111;mso-fit-shape-to-text:t">
                    <w:txbxContent>
                      <w:p w:rsidR="00AC7D7B" w:rsidRDefault="00AC7D7B" w:rsidP="006F39C3">
                        <w:r>
                          <w:t>64</w:t>
                        </w:r>
                      </w:p>
                    </w:txbxContent>
                  </v:textbox>
                </v:shape>
              </w:pict>
            </w:r>
            <w:r w:rsidR="00197AA0">
              <w:rPr>
                <w:rFonts w:ascii="Arial" w:hAnsi="Arial" w:cs="Arial"/>
                <w:sz w:val="18"/>
                <w:szCs w:val="18"/>
              </w:rPr>
              <w:t>Con eslora de  87 pies, manga de 25 pies con 11 pulgadas, TRB: 150, TRN 84.5; 2 motores Caterpillar de 900 hp c/u y casco de hierro.</w:t>
            </w:r>
          </w:p>
        </w:tc>
      </w:tr>
      <w:tr w:rsidR="00197AA0" w:rsidTr="00232C32">
        <w:tc>
          <w:tcPr>
            <w:tcW w:w="2628" w:type="dxa"/>
            <w:tcBorders>
              <w:top w:val="single" w:sz="4" w:space="0" w:color="000000"/>
              <w:left w:val="single" w:sz="4" w:space="0" w:color="000000"/>
              <w:bottom w:val="single" w:sz="4" w:space="0" w:color="000000"/>
              <w:right w:val="nil"/>
            </w:tcBorders>
          </w:tcPr>
          <w:p w:rsidR="00197AA0" w:rsidRDefault="00197AA0">
            <w:pPr>
              <w:pStyle w:val="NormalWeb"/>
              <w:snapToGrid w:val="0"/>
              <w:spacing w:line="360" w:lineRule="auto"/>
              <w:ind w:right="44"/>
              <w:jc w:val="both"/>
              <w:rPr>
                <w:rFonts w:ascii="Arial" w:hAnsi="Arial" w:cs="Arial"/>
                <w:b/>
                <w:sz w:val="18"/>
                <w:szCs w:val="18"/>
              </w:rPr>
            </w:pPr>
            <w:r>
              <w:rPr>
                <w:rFonts w:ascii="Arial" w:hAnsi="Arial" w:cs="Arial"/>
                <w:b/>
                <w:sz w:val="18"/>
                <w:szCs w:val="18"/>
              </w:rPr>
              <w:t>Acaxual</w:t>
            </w:r>
          </w:p>
        </w:tc>
        <w:tc>
          <w:tcPr>
            <w:tcW w:w="6026" w:type="dxa"/>
            <w:tcBorders>
              <w:top w:val="single" w:sz="4" w:space="0" w:color="000000"/>
              <w:left w:val="single" w:sz="4" w:space="0" w:color="000000"/>
              <w:bottom w:val="single" w:sz="4" w:space="0" w:color="000000"/>
              <w:right w:val="single" w:sz="4" w:space="0" w:color="000000"/>
            </w:tcBorders>
          </w:tcPr>
          <w:p w:rsidR="00197AA0" w:rsidRDefault="00197AA0">
            <w:pPr>
              <w:pStyle w:val="NormalWeb"/>
              <w:snapToGrid w:val="0"/>
              <w:spacing w:line="360" w:lineRule="auto"/>
              <w:ind w:right="44"/>
              <w:jc w:val="both"/>
              <w:rPr>
                <w:rFonts w:ascii="Arial" w:hAnsi="Arial" w:cs="Arial"/>
                <w:sz w:val="18"/>
                <w:szCs w:val="18"/>
              </w:rPr>
            </w:pPr>
            <w:r>
              <w:rPr>
                <w:rFonts w:ascii="Arial" w:hAnsi="Arial" w:cs="Arial"/>
                <w:sz w:val="18"/>
                <w:szCs w:val="18"/>
              </w:rPr>
              <w:t>Con eslora de  71 pies, con 9 pulgadas, manga de 21 pies, TRB: 95.2, TRN 64; 2 motores Detroit de 600 hp c/u y casco de hierro.</w:t>
            </w:r>
          </w:p>
        </w:tc>
      </w:tr>
      <w:tr w:rsidR="00197AA0" w:rsidTr="00232C32">
        <w:tc>
          <w:tcPr>
            <w:tcW w:w="2628" w:type="dxa"/>
            <w:tcBorders>
              <w:top w:val="single" w:sz="4" w:space="0" w:color="000000"/>
              <w:left w:val="single" w:sz="4" w:space="0" w:color="000000"/>
              <w:bottom w:val="single" w:sz="4" w:space="0" w:color="000000"/>
              <w:right w:val="nil"/>
            </w:tcBorders>
          </w:tcPr>
          <w:p w:rsidR="00197AA0" w:rsidRDefault="00197AA0">
            <w:pPr>
              <w:pStyle w:val="NormalWeb"/>
              <w:snapToGrid w:val="0"/>
              <w:spacing w:line="360" w:lineRule="auto"/>
              <w:ind w:right="44"/>
              <w:jc w:val="both"/>
              <w:rPr>
                <w:rFonts w:ascii="Arial" w:hAnsi="Arial" w:cs="Arial"/>
                <w:b/>
                <w:sz w:val="18"/>
                <w:szCs w:val="18"/>
              </w:rPr>
            </w:pPr>
            <w:r>
              <w:rPr>
                <w:rFonts w:ascii="Arial" w:hAnsi="Arial" w:cs="Arial"/>
                <w:b/>
                <w:sz w:val="18"/>
                <w:szCs w:val="18"/>
              </w:rPr>
              <w:t>Acajutla</w:t>
            </w:r>
          </w:p>
        </w:tc>
        <w:tc>
          <w:tcPr>
            <w:tcW w:w="6026" w:type="dxa"/>
            <w:tcBorders>
              <w:top w:val="single" w:sz="4" w:space="0" w:color="000000"/>
              <w:left w:val="single" w:sz="4" w:space="0" w:color="000000"/>
              <w:bottom w:val="single" w:sz="4" w:space="0" w:color="000000"/>
              <w:right w:val="single" w:sz="4" w:space="0" w:color="000000"/>
            </w:tcBorders>
          </w:tcPr>
          <w:p w:rsidR="00197AA0" w:rsidRDefault="00197AA0">
            <w:pPr>
              <w:pStyle w:val="NormalWeb"/>
              <w:snapToGrid w:val="0"/>
              <w:spacing w:line="360" w:lineRule="auto"/>
              <w:ind w:right="44"/>
              <w:jc w:val="both"/>
              <w:rPr>
                <w:rFonts w:ascii="Arial" w:hAnsi="Arial" w:cs="Arial"/>
                <w:sz w:val="18"/>
                <w:szCs w:val="18"/>
              </w:rPr>
            </w:pPr>
            <w:r>
              <w:rPr>
                <w:rFonts w:ascii="Arial" w:hAnsi="Arial" w:cs="Arial"/>
                <w:sz w:val="18"/>
                <w:szCs w:val="18"/>
              </w:rPr>
              <w:t>Con eslora de 75 pies, manga de de 24.15 pies, TRB: 119TM, TRN: 41.44TM; dos motores Caterpillar de 1360 HP, y casco de hierro, con desplazamiento de 210 toneladas, empuje 38.2 toneladas, velocidad: 12.4 nudos.</w:t>
            </w:r>
          </w:p>
        </w:tc>
      </w:tr>
      <w:tr w:rsidR="00197AA0" w:rsidTr="00232C32">
        <w:tc>
          <w:tcPr>
            <w:tcW w:w="2628" w:type="dxa"/>
            <w:tcBorders>
              <w:top w:val="single" w:sz="4" w:space="0" w:color="000000"/>
              <w:left w:val="single" w:sz="4" w:space="0" w:color="000000"/>
              <w:bottom w:val="single" w:sz="4" w:space="0" w:color="000000"/>
              <w:right w:val="nil"/>
            </w:tcBorders>
          </w:tcPr>
          <w:p w:rsidR="00197AA0" w:rsidRDefault="00197AA0">
            <w:pPr>
              <w:pStyle w:val="NormalWeb"/>
              <w:snapToGrid w:val="0"/>
              <w:spacing w:line="360" w:lineRule="auto"/>
              <w:ind w:right="44"/>
              <w:jc w:val="both"/>
              <w:rPr>
                <w:rFonts w:ascii="Arial" w:hAnsi="Arial" w:cs="Arial"/>
                <w:b/>
                <w:sz w:val="18"/>
                <w:szCs w:val="18"/>
              </w:rPr>
            </w:pPr>
            <w:r>
              <w:rPr>
                <w:rFonts w:ascii="Arial" w:hAnsi="Arial" w:cs="Arial"/>
                <w:b/>
                <w:sz w:val="18"/>
                <w:szCs w:val="18"/>
              </w:rPr>
              <w:t>Izalco</w:t>
            </w:r>
          </w:p>
        </w:tc>
        <w:tc>
          <w:tcPr>
            <w:tcW w:w="6026" w:type="dxa"/>
            <w:tcBorders>
              <w:top w:val="single" w:sz="4" w:space="0" w:color="000000"/>
              <w:left w:val="single" w:sz="4" w:space="0" w:color="000000"/>
              <w:bottom w:val="single" w:sz="4" w:space="0" w:color="000000"/>
              <w:right w:val="single" w:sz="4" w:space="0" w:color="000000"/>
            </w:tcBorders>
          </w:tcPr>
          <w:p w:rsidR="00197AA0" w:rsidRDefault="00197AA0">
            <w:pPr>
              <w:pStyle w:val="NormalWeb"/>
              <w:snapToGrid w:val="0"/>
              <w:spacing w:line="360" w:lineRule="auto"/>
              <w:ind w:right="44"/>
              <w:jc w:val="both"/>
              <w:rPr>
                <w:rFonts w:ascii="Arial" w:hAnsi="Arial" w:cs="Arial"/>
                <w:sz w:val="18"/>
                <w:szCs w:val="18"/>
              </w:rPr>
            </w:pPr>
            <w:r>
              <w:rPr>
                <w:rFonts w:ascii="Arial" w:hAnsi="Arial" w:cs="Arial"/>
                <w:sz w:val="18"/>
                <w:szCs w:val="18"/>
              </w:rPr>
              <w:t xml:space="preserve"> Con eslora de 75 pies, manga de 24.15 pies, TRB: 119TM, TRN: 41.44TM; dos motores Caterpillar de 1360 HP, y casco de hierro, con desplazamiento de 210 toneladas, empuje 38.2 toneladas, velocidad: 12.4 nudos.</w:t>
            </w:r>
          </w:p>
        </w:tc>
      </w:tr>
      <w:tr w:rsidR="00197AA0" w:rsidTr="00232C32">
        <w:tc>
          <w:tcPr>
            <w:tcW w:w="2628" w:type="dxa"/>
            <w:tcBorders>
              <w:top w:val="single" w:sz="4" w:space="0" w:color="000000"/>
              <w:left w:val="single" w:sz="4" w:space="0" w:color="000000"/>
              <w:bottom w:val="single" w:sz="4" w:space="0" w:color="000000"/>
              <w:right w:val="nil"/>
            </w:tcBorders>
          </w:tcPr>
          <w:p w:rsidR="00197AA0" w:rsidRDefault="00197AA0">
            <w:pPr>
              <w:pStyle w:val="NormalWeb"/>
              <w:snapToGrid w:val="0"/>
              <w:spacing w:line="360" w:lineRule="auto"/>
              <w:ind w:right="44"/>
              <w:jc w:val="both"/>
              <w:rPr>
                <w:rFonts w:ascii="Arial" w:hAnsi="Arial" w:cs="Arial"/>
                <w:b/>
                <w:sz w:val="18"/>
                <w:szCs w:val="18"/>
              </w:rPr>
            </w:pPr>
            <w:r>
              <w:rPr>
                <w:rFonts w:ascii="Arial" w:hAnsi="Arial" w:cs="Arial"/>
                <w:b/>
                <w:sz w:val="18"/>
                <w:szCs w:val="18"/>
              </w:rPr>
              <w:t>Caluco y San Miguel</w:t>
            </w:r>
          </w:p>
        </w:tc>
        <w:tc>
          <w:tcPr>
            <w:tcW w:w="6026" w:type="dxa"/>
            <w:tcBorders>
              <w:top w:val="single" w:sz="4" w:space="0" w:color="000000"/>
              <w:left w:val="single" w:sz="4" w:space="0" w:color="000000"/>
              <w:bottom w:val="single" w:sz="4" w:space="0" w:color="000000"/>
              <w:right w:val="single" w:sz="4" w:space="0" w:color="000000"/>
            </w:tcBorders>
          </w:tcPr>
          <w:p w:rsidR="00197AA0" w:rsidRDefault="00197AA0">
            <w:pPr>
              <w:pStyle w:val="NormalWeb"/>
              <w:snapToGrid w:val="0"/>
              <w:spacing w:line="360" w:lineRule="auto"/>
              <w:ind w:right="44"/>
              <w:jc w:val="both"/>
              <w:rPr>
                <w:rFonts w:ascii="Arial" w:hAnsi="Arial" w:cs="Arial"/>
                <w:sz w:val="18"/>
                <w:szCs w:val="18"/>
              </w:rPr>
            </w:pPr>
            <w:r>
              <w:rPr>
                <w:rFonts w:ascii="Arial" w:hAnsi="Arial" w:cs="Arial"/>
                <w:sz w:val="18"/>
                <w:szCs w:val="18"/>
              </w:rPr>
              <w:t>Con eslora de 45 pies, manga de 14 pies, TRB: 27TM; 1 motor Detroit de 250 HP y casco de hierro para llevar desde el muelle a los barcos y viceversa, al piloto practico que se encarga de atracarlos y viceversa. También se utilizan para el amarre y desamarre de los barcos en las boyas</w:t>
            </w:r>
            <w:r>
              <w:rPr>
                <w:rStyle w:val="Refdenotaalpie"/>
                <w:rFonts w:ascii="Arial" w:hAnsi="Arial" w:cs="Arial"/>
                <w:sz w:val="18"/>
                <w:szCs w:val="18"/>
              </w:rPr>
              <w:footnoteReference w:customMarkFollows="1" w:id="111"/>
              <w:sym w:font="Symbol" w:char="F02A"/>
            </w:r>
            <w:r>
              <w:rPr>
                <w:rFonts w:ascii="Arial" w:hAnsi="Arial" w:cs="Arial"/>
                <w:sz w:val="18"/>
                <w:szCs w:val="18"/>
              </w:rPr>
              <w:t>.</w:t>
            </w:r>
          </w:p>
        </w:tc>
      </w:tr>
    </w:tbl>
    <w:p w:rsidR="00197AA0" w:rsidRDefault="00197AA0" w:rsidP="00232C32">
      <w:pPr>
        <w:pStyle w:val="NormalWeb"/>
        <w:spacing w:line="360" w:lineRule="auto"/>
        <w:ind w:right="44"/>
        <w:jc w:val="both"/>
        <w:rPr>
          <w:rFonts w:ascii="Arial" w:hAnsi="Arial" w:cs="Arial"/>
          <w:sz w:val="18"/>
          <w:szCs w:val="18"/>
          <w:lang w:eastAsia="es-ES"/>
        </w:rPr>
      </w:pPr>
      <w:r>
        <w:rPr>
          <w:rFonts w:ascii="Arial" w:hAnsi="Arial" w:cs="Arial"/>
          <w:sz w:val="18"/>
          <w:szCs w:val="18"/>
        </w:rPr>
        <w:t>Fuente: Elaboración propia con información de la fuente citada.</w:t>
      </w:r>
    </w:p>
    <w:p w:rsidR="00197AA0" w:rsidRDefault="00197AA0" w:rsidP="00232C32">
      <w:pPr>
        <w:pStyle w:val="Default"/>
        <w:spacing w:line="360" w:lineRule="auto"/>
        <w:ind w:right="44" w:firstLine="567"/>
        <w:jc w:val="both"/>
        <w:rPr>
          <w:sz w:val="22"/>
          <w:szCs w:val="22"/>
        </w:rPr>
      </w:pPr>
    </w:p>
    <w:p w:rsidR="00197AA0" w:rsidRPr="00201277" w:rsidRDefault="001D7573" w:rsidP="00232C32">
      <w:pPr>
        <w:pStyle w:val="Default"/>
        <w:spacing w:line="360" w:lineRule="auto"/>
        <w:ind w:right="44" w:firstLine="567"/>
        <w:jc w:val="both"/>
        <w:rPr>
          <w:sz w:val="22"/>
          <w:szCs w:val="22"/>
        </w:rPr>
      </w:pPr>
      <w:r w:rsidRPr="001D7573">
        <w:rPr>
          <w:b/>
          <w:noProof/>
          <w:sz w:val="18"/>
          <w:szCs w:val="18"/>
          <w:lang w:eastAsia="es-ES"/>
        </w:rPr>
        <w:lastRenderedPageBreak/>
        <w:pict>
          <v:shape id="_x0000_s1208" type="#_x0000_t202" style="position:absolute;left:0;text-align:left;margin-left:217.5pt;margin-top:265.7pt;width:31.8pt;height:21pt;z-index:251837440;mso-height-percent:200;mso-height-percent:200;mso-width-relative:margin;mso-height-relative:margin" fillcolor="white [3212]" stroked="f">
            <v:textbox style="mso-next-textbox:#_x0000_s1208;mso-fit-shape-to-text:t">
              <w:txbxContent>
                <w:p w:rsidR="00663A0A" w:rsidRDefault="00663A0A" w:rsidP="00663A0A">
                  <w:r>
                    <w:t>65</w:t>
                  </w:r>
                </w:p>
              </w:txbxContent>
            </v:textbox>
          </v:shape>
        </w:pict>
      </w:r>
      <w:r w:rsidRPr="001D7573">
        <w:rPr>
          <w:b/>
          <w:noProof/>
          <w:sz w:val="18"/>
          <w:szCs w:val="18"/>
          <w:lang w:eastAsia="es-ES"/>
        </w:rPr>
        <w:pict>
          <v:shape id="_x0000_s1112" type="#_x0000_t202" style="position:absolute;left:0;text-align:left;margin-left:214.35pt;margin-top:375.8pt;width:31.8pt;height:21pt;z-index:251740160;mso-height-percent:200;mso-height-percent:200;mso-width-relative:margin;mso-height-relative:margin" fillcolor="white [3212]" stroked="f">
            <v:textbox style="mso-next-textbox:#_x0000_s1112;mso-fit-shape-to-text:t">
              <w:txbxContent>
                <w:p w:rsidR="00AC7D7B" w:rsidRDefault="00AC7D7B" w:rsidP="006F39C3">
                  <w:r>
                    <w:t>65</w:t>
                  </w:r>
                </w:p>
              </w:txbxContent>
            </v:textbox>
          </v:shape>
        </w:pict>
      </w:r>
      <w:r w:rsidR="00197AA0" w:rsidRPr="00201277">
        <w:rPr>
          <w:sz w:val="22"/>
          <w:szCs w:val="22"/>
        </w:rPr>
        <w:t xml:space="preserve">Ya para concluir con el Puerto de Acajutla es fundamental aclarar que este último, está certificado como puerto seguro. Bajo el cual La Comisión Ejecutiva Portuaria Autónoma (CEPA), adoptó las medidas de seguridad necesarias a través de la elaboración y puesta en funcionamiento del </w:t>
      </w:r>
      <w:r w:rsidR="00197AA0" w:rsidRPr="00201277">
        <w:rPr>
          <w:bCs/>
          <w:sz w:val="22"/>
          <w:szCs w:val="22"/>
        </w:rPr>
        <w:t>Plan de Protección de la Instalación Portuaria</w:t>
      </w:r>
      <w:r w:rsidR="00197AA0" w:rsidRPr="00201277">
        <w:rPr>
          <w:rStyle w:val="Refdenotaalpie"/>
          <w:rFonts w:cs="Arial"/>
          <w:bCs/>
          <w:sz w:val="22"/>
          <w:szCs w:val="22"/>
        </w:rPr>
        <w:footnoteReference w:customMarkFollows="1" w:id="112"/>
        <w:sym w:font="Symbol" w:char="F02A"/>
      </w:r>
      <w:r w:rsidR="00197AA0" w:rsidRPr="00201277">
        <w:rPr>
          <w:rStyle w:val="Refdenotaalpie"/>
          <w:rFonts w:cs="Arial"/>
          <w:bCs/>
          <w:sz w:val="22"/>
          <w:szCs w:val="22"/>
        </w:rPr>
        <w:sym w:font="Symbol" w:char="F02A"/>
      </w:r>
      <w:r w:rsidR="00197AA0" w:rsidRPr="00201277">
        <w:rPr>
          <w:bCs/>
          <w:sz w:val="22"/>
          <w:szCs w:val="22"/>
        </w:rPr>
        <w:t xml:space="preserve"> </w:t>
      </w:r>
      <w:r w:rsidR="00197AA0" w:rsidRPr="00201277">
        <w:rPr>
          <w:sz w:val="22"/>
          <w:szCs w:val="22"/>
        </w:rPr>
        <w:t xml:space="preserve">(PPIP) del Puerto de Acajutla, con el propósito de lograr la certificación de dicha terminal portuaria como un puerto seguro. </w:t>
      </w:r>
    </w:p>
    <w:p w:rsidR="00197AA0" w:rsidRPr="00201277" w:rsidRDefault="00197AA0" w:rsidP="00232C32">
      <w:pPr>
        <w:pStyle w:val="NormalWeb"/>
        <w:spacing w:line="360" w:lineRule="auto"/>
        <w:ind w:right="44" w:firstLine="567"/>
        <w:jc w:val="both"/>
        <w:rPr>
          <w:rFonts w:ascii="Arial" w:hAnsi="Arial" w:cs="Arial"/>
          <w:color w:val="000000"/>
          <w:sz w:val="22"/>
          <w:szCs w:val="22"/>
        </w:rPr>
      </w:pPr>
      <w:r w:rsidRPr="00201277">
        <w:rPr>
          <w:rFonts w:ascii="Arial" w:hAnsi="Arial" w:cs="Arial"/>
          <w:color w:val="000000"/>
          <w:sz w:val="22"/>
          <w:szCs w:val="22"/>
        </w:rPr>
        <w:t>De esa forma, el 29 de junio de 2004 previa verificación de dichos estándares se llevó a cabo el acto de certificación del Puerto de Acajutla como un puerto seguro, por parte de la Autoridad Marítima Portuaria de El Salvador.</w:t>
      </w:r>
    </w:p>
    <w:p w:rsidR="00197AA0" w:rsidRPr="00201277" w:rsidRDefault="00197AA0" w:rsidP="00232C32">
      <w:pPr>
        <w:pStyle w:val="NormalWeb"/>
        <w:spacing w:line="360" w:lineRule="auto"/>
        <w:ind w:right="44"/>
        <w:jc w:val="both"/>
        <w:rPr>
          <w:rFonts w:ascii="Arial" w:hAnsi="Arial" w:cs="Arial"/>
          <w:color w:val="000000"/>
          <w:sz w:val="22"/>
          <w:szCs w:val="22"/>
        </w:rPr>
      </w:pPr>
      <w:r w:rsidRPr="00201277">
        <w:rPr>
          <w:rFonts w:ascii="Arial" w:hAnsi="Arial" w:cs="Arial"/>
          <w:color w:val="000000"/>
          <w:sz w:val="22"/>
          <w:szCs w:val="22"/>
        </w:rPr>
        <w:t>Los principales componentes de seguridad con los que cuenta El Salvador son:</w:t>
      </w:r>
    </w:p>
    <w:p w:rsidR="00197AA0" w:rsidRPr="00201277" w:rsidRDefault="00197AA0" w:rsidP="00232C32">
      <w:pPr>
        <w:pStyle w:val="NormalWeb"/>
        <w:numPr>
          <w:ilvl w:val="0"/>
          <w:numId w:val="21"/>
        </w:numPr>
        <w:spacing w:after="0" w:line="360" w:lineRule="auto"/>
        <w:ind w:right="44"/>
        <w:jc w:val="both"/>
        <w:rPr>
          <w:rFonts w:ascii="Arial" w:hAnsi="Arial" w:cs="Arial"/>
          <w:color w:val="000000"/>
          <w:sz w:val="22"/>
          <w:szCs w:val="22"/>
        </w:rPr>
      </w:pPr>
      <w:r w:rsidRPr="00201277">
        <w:rPr>
          <w:rFonts w:ascii="Arial" w:hAnsi="Arial" w:cs="Arial"/>
          <w:color w:val="000000"/>
          <w:sz w:val="22"/>
          <w:szCs w:val="22"/>
        </w:rPr>
        <w:t>Sistema de CCTV Digital.</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Vallas perimetrales bajo estándares internacionales.</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Sistema de iluminación perimetral.</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Sistema de comunicación radial.</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Medios de transporte terrestre y marítimo.</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Pórticos detectores de metal y detectores portátiles.</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Sistema de identificación electrónico.</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Sistema de países para vehículos y peatones.</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Sistemas de control de accesos peatonales y vehiculares.</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Un Centro de Operaciones de Seguridad.</w:t>
      </w:r>
    </w:p>
    <w:p w:rsidR="00197AA0" w:rsidRPr="00201277" w:rsidRDefault="00197AA0" w:rsidP="00232C32">
      <w:pPr>
        <w:numPr>
          <w:ilvl w:val="0"/>
          <w:numId w:val="21"/>
        </w:numPr>
        <w:suppressAutoHyphens/>
        <w:spacing w:line="360" w:lineRule="auto"/>
        <w:ind w:right="44"/>
        <w:jc w:val="both"/>
        <w:rPr>
          <w:rFonts w:ascii="Arial" w:hAnsi="Arial" w:cs="Arial"/>
          <w:sz w:val="22"/>
          <w:szCs w:val="22"/>
        </w:rPr>
      </w:pPr>
      <w:r w:rsidRPr="00201277">
        <w:rPr>
          <w:rFonts w:ascii="Arial" w:hAnsi="Arial" w:cs="Arial"/>
          <w:sz w:val="22"/>
          <w:szCs w:val="22"/>
        </w:rPr>
        <w:t>Personal de Seguridad con participación de CEPA, Policía, Ejército y Fuerza Naval entre otros.</w:t>
      </w:r>
    </w:p>
    <w:p w:rsidR="00197AA0" w:rsidRPr="00201277" w:rsidRDefault="00197AA0" w:rsidP="00232C32">
      <w:pPr>
        <w:numPr>
          <w:ilvl w:val="0"/>
          <w:numId w:val="21"/>
        </w:numPr>
        <w:suppressAutoHyphens/>
        <w:spacing w:after="280" w:line="360" w:lineRule="auto"/>
        <w:ind w:right="44"/>
        <w:jc w:val="both"/>
        <w:rPr>
          <w:rFonts w:ascii="Arial" w:hAnsi="Arial" w:cs="Arial"/>
          <w:sz w:val="22"/>
          <w:szCs w:val="22"/>
        </w:rPr>
      </w:pPr>
      <w:r w:rsidRPr="00201277">
        <w:rPr>
          <w:rFonts w:ascii="Arial" w:hAnsi="Arial" w:cs="Arial"/>
          <w:sz w:val="22"/>
          <w:szCs w:val="22"/>
        </w:rPr>
        <w:lastRenderedPageBreak/>
        <w:t>Programas de capacitación, ejercicios y simulacros.</w:t>
      </w:r>
    </w:p>
    <w:p w:rsidR="00197AA0"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En la siguiente imagen se muestra la certificación como puerto seguro del Puerto de Acajutla:</w:t>
      </w:r>
    </w:p>
    <w:p w:rsidR="00197AA0" w:rsidRDefault="00197AA0" w:rsidP="00232C32">
      <w:pPr>
        <w:pStyle w:val="NormalWeb"/>
        <w:spacing w:line="360" w:lineRule="auto"/>
        <w:ind w:right="44" w:firstLine="567"/>
        <w:jc w:val="both"/>
        <w:rPr>
          <w:rFonts w:ascii="Arial" w:hAnsi="Arial" w:cs="Arial"/>
          <w:sz w:val="22"/>
          <w:szCs w:val="22"/>
        </w:rPr>
      </w:pPr>
    </w:p>
    <w:p w:rsidR="00197AA0" w:rsidRDefault="00197AA0" w:rsidP="00232C32">
      <w:pPr>
        <w:pStyle w:val="NormalWeb"/>
        <w:spacing w:line="360" w:lineRule="auto"/>
        <w:ind w:right="44" w:firstLine="567"/>
        <w:jc w:val="both"/>
        <w:rPr>
          <w:rFonts w:ascii="Arial" w:hAnsi="Arial" w:cs="Arial"/>
          <w:sz w:val="22"/>
          <w:szCs w:val="22"/>
        </w:rPr>
      </w:pPr>
    </w:p>
    <w:p w:rsidR="00197AA0" w:rsidRPr="00201277" w:rsidRDefault="00197AA0" w:rsidP="00232C32">
      <w:pPr>
        <w:pStyle w:val="NormalWeb"/>
        <w:spacing w:line="360" w:lineRule="auto"/>
        <w:ind w:right="44" w:firstLine="567"/>
        <w:jc w:val="both"/>
        <w:rPr>
          <w:rFonts w:ascii="Arial" w:hAnsi="Arial" w:cs="Arial"/>
          <w:sz w:val="22"/>
          <w:szCs w:val="22"/>
        </w:rPr>
      </w:pPr>
    </w:p>
    <w:p w:rsidR="00197AA0" w:rsidRPr="00201277" w:rsidRDefault="001D7573" w:rsidP="00232C32">
      <w:pPr>
        <w:pStyle w:val="NormalWeb"/>
        <w:spacing w:line="360" w:lineRule="auto"/>
        <w:ind w:right="44"/>
        <w:jc w:val="both"/>
        <w:rPr>
          <w:rFonts w:ascii="Arial" w:hAnsi="Arial" w:cs="Arial"/>
          <w:sz w:val="22"/>
          <w:szCs w:val="22"/>
        </w:rPr>
      </w:pPr>
      <w:r w:rsidRPr="001D7573">
        <w:rPr>
          <w:rFonts w:ascii="Arial" w:hAnsi="Arial" w:cs="Arial"/>
          <w:b/>
          <w:noProof/>
          <w:sz w:val="22"/>
          <w:szCs w:val="22"/>
          <w:lang w:eastAsia="es-ES"/>
        </w:rPr>
        <w:pict>
          <v:shape id="_x0000_s1113" type="#_x0000_t202" style="position:absolute;left:0;text-align:left;margin-left:166.3pt;margin-top:145.55pt;width:31.8pt;height:21pt;z-index:251741184;mso-height-percent:200;mso-height-percent:200;mso-width-relative:margin;mso-height-relative:margin" fillcolor="white [3212]" stroked="f">
            <v:textbox style="mso-next-textbox:#_x0000_s1113;mso-fit-shape-to-text:t">
              <w:txbxContent>
                <w:p w:rsidR="00AC7D7B" w:rsidRDefault="00AC7D7B" w:rsidP="006F39C3">
                  <w:r>
                    <w:t>66</w:t>
                  </w:r>
                </w:p>
              </w:txbxContent>
            </v:textbox>
          </v:shape>
        </w:pict>
      </w:r>
      <w:r w:rsidR="00197AA0" w:rsidRPr="00201277">
        <w:rPr>
          <w:rFonts w:ascii="Arial" w:hAnsi="Arial" w:cs="Arial"/>
          <w:b/>
          <w:sz w:val="22"/>
          <w:szCs w:val="22"/>
        </w:rPr>
        <w:t>Imagen 2.1 Certificación de Puerto seguro</w:t>
      </w:r>
      <w:r w:rsidR="00197AA0" w:rsidRPr="00201277">
        <w:rPr>
          <w:rFonts w:ascii="Arial" w:hAnsi="Arial" w:cs="Arial"/>
          <w:sz w:val="22"/>
          <w:szCs w:val="22"/>
        </w:rPr>
        <w:t xml:space="preserve">   </w:t>
      </w:r>
    </w:p>
    <w:p w:rsidR="00197AA0" w:rsidRDefault="00197AA0" w:rsidP="00232C32">
      <w:pPr>
        <w:pStyle w:val="NormalWeb"/>
        <w:spacing w:line="360" w:lineRule="auto"/>
        <w:ind w:right="44"/>
        <w:jc w:val="both"/>
        <w:rPr>
          <w:rFonts w:ascii="Arial" w:hAnsi="Arial" w:cs="Arial"/>
          <w:sz w:val="22"/>
          <w:szCs w:val="22"/>
        </w:rPr>
      </w:pPr>
      <w:r>
        <w:rPr>
          <w:rFonts w:ascii="Arial" w:hAnsi="Arial" w:cs="Arial"/>
          <w:sz w:val="22"/>
          <w:szCs w:val="22"/>
        </w:rPr>
        <w:t xml:space="preserve">  </w:t>
      </w:r>
      <w:r w:rsidR="007C6B79">
        <w:rPr>
          <w:rFonts w:ascii="Arial" w:hAnsi="Arial" w:cs="Arial"/>
          <w:noProof/>
          <w:sz w:val="22"/>
          <w:szCs w:val="22"/>
          <w:lang w:eastAsia="es-ES"/>
        </w:rPr>
        <w:drawing>
          <wp:inline distT="0" distB="0" distL="0" distR="0">
            <wp:extent cx="3381375" cy="2581275"/>
            <wp:effectExtent l="1905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srcRect/>
                    <a:stretch>
                      <a:fillRect/>
                    </a:stretch>
                  </pic:blipFill>
                  <pic:spPr bwMode="auto">
                    <a:xfrm>
                      <a:off x="0" y="0"/>
                      <a:ext cx="3381375" cy="2581275"/>
                    </a:xfrm>
                    <a:prstGeom prst="rect">
                      <a:avLst/>
                    </a:prstGeom>
                    <a:solidFill>
                      <a:srgbClr val="FFFFFF"/>
                    </a:solidFill>
                    <a:ln w="9525">
                      <a:noFill/>
                      <a:miter lim="800000"/>
                      <a:headEnd/>
                      <a:tailEnd/>
                    </a:ln>
                  </pic:spPr>
                </pic:pic>
              </a:graphicData>
            </a:graphic>
          </wp:inline>
        </w:drawing>
      </w:r>
    </w:p>
    <w:p w:rsidR="00197AA0" w:rsidRDefault="00197AA0" w:rsidP="00232C32">
      <w:pPr>
        <w:pStyle w:val="NormalWeb"/>
        <w:spacing w:line="360" w:lineRule="auto"/>
        <w:ind w:right="44"/>
        <w:jc w:val="both"/>
        <w:rPr>
          <w:rFonts w:ascii="Arial" w:hAnsi="Arial" w:cs="Arial"/>
          <w:sz w:val="18"/>
          <w:szCs w:val="18"/>
        </w:rPr>
      </w:pPr>
      <w:r>
        <w:rPr>
          <w:rFonts w:ascii="Arial" w:hAnsi="Arial" w:cs="Arial"/>
          <w:sz w:val="18"/>
          <w:szCs w:val="18"/>
        </w:rPr>
        <w:t>Fuente: Autoridad Marítima Portuaria (AMP)</w:t>
      </w:r>
    </w:p>
    <w:p w:rsidR="00197AA0" w:rsidRDefault="00197AA0" w:rsidP="00232C32">
      <w:pPr>
        <w:autoSpaceDE w:val="0"/>
        <w:spacing w:line="360" w:lineRule="auto"/>
        <w:ind w:right="44" w:firstLine="567"/>
        <w:jc w:val="both"/>
        <w:rPr>
          <w:rFonts w:ascii="Arial" w:hAnsi="Arial" w:cs="Arial"/>
          <w:sz w:val="22"/>
          <w:szCs w:val="22"/>
        </w:rPr>
      </w:pPr>
      <w:r w:rsidRPr="00201277">
        <w:rPr>
          <w:rFonts w:ascii="Arial" w:hAnsi="Arial" w:cs="Arial"/>
          <w:sz w:val="22"/>
          <w:szCs w:val="22"/>
        </w:rPr>
        <w:t>En la actualidad, el Puerto de Acajutla cuenta con nuevas líneas navieras</w:t>
      </w:r>
      <w:r w:rsidRPr="00201277">
        <w:rPr>
          <w:rStyle w:val="Refdenotaalpie"/>
          <w:rFonts w:ascii="Arial" w:hAnsi="Arial" w:cs="Arial"/>
          <w:sz w:val="22"/>
          <w:szCs w:val="22"/>
        </w:rPr>
        <w:footnoteReference w:customMarkFollows="1" w:id="113"/>
        <w:sym w:font="Symbol" w:char="F02A"/>
      </w:r>
      <w:r w:rsidRPr="00201277">
        <w:rPr>
          <w:rFonts w:ascii="Arial" w:hAnsi="Arial" w:cs="Arial"/>
          <w:sz w:val="22"/>
          <w:szCs w:val="22"/>
        </w:rPr>
        <w:t xml:space="preserve"> que están posicionando su carga, las cuales son: Maersk LINE, Sealand, API, Maruba, CCNI, CNACCM, CHINA CHIPING LINE y la MYK, esta última hasta el 2001 era la única línea naviera operando en el puerto.</w:t>
      </w:r>
    </w:p>
    <w:p w:rsidR="00197AA0" w:rsidRPr="00201277" w:rsidRDefault="00197AA0" w:rsidP="00232C32">
      <w:pPr>
        <w:autoSpaceDE w:val="0"/>
        <w:spacing w:line="360" w:lineRule="auto"/>
        <w:ind w:right="44" w:firstLine="567"/>
        <w:jc w:val="both"/>
        <w:rPr>
          <w:rFonts w:ascii="Arial" w:hAnsi="Arial" w:cs="Arial"/>
          <w:sz w:val="22"/>
          <w:szCs w:val="22"/>
        </w:rPr>
      </w:pPr>
    </w:p>
    <w:p w:rsidR="00197AA0" w:rsidRDefault="00197AA0" w:rsidP="00232C32">
      <w:pPr>
        <w:autoSpaceDE w:val="0"/>
        <w:spacing w:line="360" w:lineRule="auto"/>
        <w:ind w:right="44" w:firstLine="567"/>
        <w:jc w:val="both"/>
        <w:rPr>
          <w:rFonts w:ascii="Arial" w:hAnsi="Arial" w:cs="Arial"/>
          <w:sz w:val="22"/>
          <w:szCs w:val="22"/>
        </w:rPr>
      </w:pPr>
      <w:r w:rsidRPr="00201277">
        <w:rPr>
          <w:rFonts w:ascii="Arial" w:hAnsi="Arial" w:cs="Arial"/>
          <w:sz w:val="22"/>
          <w:szCs w:val="22"/>
        </w:rPr>
        <w:lastRenderedPageBreak/>
        <w:t xml:space="preserve"> Las navieras mencionadas, en los últimos años han optado por comenzar a utilizar el puerto de Acajutla para embarcar y desembarcar su mercadería debido a que muchas de estas navieras operaban la mercadería que venía al país por medio de Puerto Quetzal</w:t>
      </w:r>
      <w:r w:rsidRPr="00201277">
        <w:rPr>
          <w:rStyle w:val="Refdenotaalpie"/>
          <w:rFonts w:ascii="Arial" w:hAnsi="Arial" w:cs="Arial"/>
          <w:sz w:val="22"/>
          <w:szCs w:val="22"/>
        </w:rPr>
        <w:footnoteReference w:customMarkFollows="1" w:id="114"/>
        <w:sym w:font="Symbol" w:char="F02A"/>
      </w:r>
      <w:r w:rsidRPr="00201277">
        <w:rPr>
          <w:rStyle w:val="Refdenotaalpie"/>
          <w:rFonts w:ascii="Arial" w:hAnsi="Arial" w:cs="Arial"/>
          <w:sz w:val="22"/>
          <w:szCs w:val="22"/>
        </w:rPr>
        <w:sym w:font="Symbol" w:char="F02A"/>
      </w:r>
      <w:r w:rsidRPr="00201277">
        <w:rPr>
          <w:rFonts w:ascii="Arial" w:hAnsi="Arial" w:cs="Arial"/>
          <w:sz w:val="22"/>
          <w:szCs w:val="22"/>
        </w:rPr>
        <w:t xml:space="preserve"> y luego esta carga se transportaba vía terrestre a El Salvador.</w:t>
      </w:r>
    </w:p>
    <w:p w:rsidR="00197AA0" w:rsidRPr="00201277" w:rsidRDefault="00197AA0" w:rsidP="00232C32">
      <w:pPr>
        <w:autoSpaceDE w:val="0"/>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sidRPr="001D7573">
        <w:rPr>
          <w:rFonts w:ascii="Arial" w:hAnsi="Arial" w:cs="Arial"/>
          <w:b/>
          <w:noProof/>
          <w:sz w:val="22"/>
          <w:szCs w:val="22"/>
        </w:rPr>
        <w:pict>
          <v:shape id="_x0000_s1114" type="#_x0000_t202" style="position:absolute;left:0;text-align:left;margin-left:226.15pt;margin-top:229.35pt;width:31.8pt;height:21pt;z-index:251742208;mso-height-percent:200;mso-height-percent:200;mso-width-relative:margin;mso-height-relative:margin" fillcolor="white [3212]" stroked="f">
            <v:textbox style="mso-next-textbox:#_x0000_s1114;mso-fit-shape-to-text:t">
              <w:txbxContent>
                <w:p w:rsidR="00AC7D7B" w:rsidRDefault="00AC7D7B" w:rsidP="006F39C3">
                  <w:r>
                    <w:t>67</w:t>
                  </w:r>
                </w:p>
              </w:txbxContent>
            </v:textbox>
          </v:shape>
        </w:pict>
      </w:r>
      <w:r w:rsidR="00197AA0" w:rsidRPr="00201277">
        <w:rPr>
          <w:rFonts w:ascii="Arial" w:hAnsi="Arial" w:cs="Arial"/>
          <w:sz w:val="22"/>
          <w:szCs w:val="22"/>
        </w:rPr>
        <w:t>Este cambio operativo consistió en que antes había un sistema de contrato colectivo firmado entre CEPA y el sindicato de trabajadores del puerto, por lo que todo el personal era parte directo de CEPA; esto hacía muy rígidas las operaciones. En cambio en el presente todo el recurso de mano de obra que el puerto necesita es suministrado a través de empresas privadas, las cuales se ganaron el derecho a través de licitaciones públicas, hecho que mejora y agiliza las operaciones de los embarques.</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 Durante los últimos 16 años el puerto de Acajutla ha movilizado un promedio de 1,170, 000 TM por año. Sin embargo, a pesar que durante la década de los ochenta se presentó en general una tendencia decreciente, mientras que en los últimos años se ha observado un crecimiento sostenible del volumen total del tráfico, el cual parece indicar que al corto plazo la capacidad de transbordo del Puerto de Acajutla puede saturarse.</w:t>
      </w:r>
    </w:p>
    <w:p w:rsidR="00197AA0" w:rsidRPr="00201277" w:rsidRDefault="00197AA0" w:rsidP="00232C32">
      <w:pPr>
        <w:spacing w:line="360" w:lineRule="auto"/>
        <w:ind w:right="44"/>
        <w:jc w:val="both"/>
        <w:rPr>
          <w:rFonts w:ascii="Arial" w:hAnsi="Arial" w:cs="Arial"/>
          <w:b/>
          <w:sz w:val="22"/>
          <w:szCs w:val="22"/>
        </w:rPr>
      </w:pPr>
    </w:p>
    <w:p w:rsidR="00197AA0" w:rsidRDefault="00197AA0" w:rsidP="00232C32">
      <w:pPr>
        <w:spacing w:line="360" w:lineRule="auto"/>
        <w:ind w:right="44"/>
        <w:jc w:val="both"/>
        <w:rPr>
          <w:rFonts w:ascii="Arial" w:hAnsi="Arial" w:cs="Arial"/>
          <w:b/>
          <w:sz w:val="22"/>
          <w:szCs w:val="22"/>
        </w:rPr>
      </w:pP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2.2.2  Puerto de La Unión</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Antes de introducirse al marco histórico del Puerto de La Unión se precisa tener una idea sobre la historia del Golfo de Fonseca</w:t>
      </w:r>
      <w:r w:rsidRPr="00201277">
        <w:rPr>
          <w:rStyle w:val="Refdenotaalpie"/>
          <w:rFonts w:ascii="Arial" w:hAnsi="Arial" w:cs="Arial"/>
          <w:sz w:val="22"/>
          <w:szCs w:val="22"/>
        </w:rPr>
        <w:footnoteReference w:customMarkFollows="1" w:id="115"/>
        <w:sym w:font="Symbol" w:char="F02A"/>
      </w:r>
      <w:r w:rsidRPr="00201277">
        <w:rPr>
          <w:rFonts w:ascii="Arial" w:hAnsi="Arial" w:cs="Arial"/>
          <w:sz w:val="22"/>
          <w:szCs w:val="22"/>
        </w:rPr>
        <w:t xml:space="preserve"> debido a que dicho puerto está ubicado en esa zona geográfica. En el año 1522 una tripulación española, bajo el mando del capitán Gil González Dávila y el piloto Andrés Niño, tenían como objetivo la expedición del archipiélago de las Perlas del Golfo de Panamá, que se basaba en dos objetivos; explorar los litorales e islas del Mar del Sur ubicados hacia el Poniente de San Miguel y Panamá; buscando un paso, estrecho o canal natural que pusiera en comunicación a los océanos </w:t>
      </w:r>
      <w:r w:rsidRPr="00201277">
        <w:rPr>
          <w:rFonts w:ascii="Arial" w:hAnsi="Arial" w:cs="Arial"/>
          <w:sz w:val="22"/>
          <w:szCs w:val="22"/>
        </w:rPr>
        <w:lastRenderedPageBreak/>
        <w:t>Atlántico y Pacífico. Los exploradores no encontraron tal canal interoceánico, empero si descubrieron el Golfo de Chorotega, al cual Andrés Niño nombró Golfo de Fonseca; el cual consta con una serie de islas como la isla de Meanguera, Meanguerita, la isla Martín Pérez, entre otras. El resultado de la expedición fue el descubrimiento del litoral que ahora forma parte del espacio marítimo salvadoreño</w:t>
      </w:r>
      <w:r w:rsidRPr="00201277">
        <w:rPr>
          <w:rStyle w:val="Refdenotaalpie"/>
          <w:rFonts w:ascii="Arial" w:hAnsi="Arial" w:cs="Arial"/>
          <w:sz w:val="22"/>
          <w:szCs w:val="22"/>
        </w:rPr>
        <w:footnoteReference w:id="116"/>
      </w:r>
      <w:r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15" type="#_x0000_t202" style="position:absolute;left:0;text-align:left;margin-left:182.1pt;margin-top:182pt;width:31.8pt;height:21pt;z-index:251743232;mso-height-percent:200;mso-height-percent:200;mso-width-relative:margin;mso-height-relative:margin" fillcolor="white [3212]" stroked="f">
            <v:textbox style="mso-next-textbox:#_x0000_s1115;mso-fit-shape-to-text:t">
              <w:txbxContent>
                <w:p w:rsidR="00AC7D7B" w:rsidRDefault="00AC7D7B" w:rsidP="006F39C3">
                  <w:r>
                    <w:t>68</w:t>
                  </w:r>
                </w:p>
              </w:txbxContent>
            </v:textbox>
          </v:shape>
        </w:pict>
      </w:r>
      <w:r w:rsidR="00197AA0" w:rsidRPr="00201277">
        <w:rPr>
          <w:rFonts w:ascii="Arial" w:hAnsi="Arial" w:cs="Arial"/>
          <w:sz w:val="22"/>
          <w:szCs w:val="22"/>
        </w:rPr>
        <w:t>En el marco de las observaciones anteriores, también es importante resaltar la</w:t>
      </w:r>
      <w:r w:rsidR="00197AA0">
        <w:rPr>
          <w:rFonts w:ascii="Arial" w:hAnsi="Arial" w:cs="Arial"/>
          <w:sz w:val="22"/>
          <w:szCs w:val="22"/>
        </w:rPr>
        <w:t xml:space="preserve"> parte histórica del Puerto de L</w:t>
      </w:r>
      <w:r w:rsidR="00197AA0" w:rsidRPr="00201277">
        <w:rPr>
          <w:rFonts w:ascii="Arial" w:hAnsi="Arial" w:cs="Arial"/>
          <w:sz w:val="22"/>
          <w:szCs w:val="22"/>
        </w:rPr>
        <w:t>a Unión, ya que anteriormente, específicamente a partir del año 1975, el Puerto de La Unión tenía como nombre Puerto de Cutuco, que pasó a manos del Estado de El Salvador, quien encomendó su administración y dirección a la Comisión Ejecutiva Portuaria Autónoma (CEPA); el tráfico de buques en esa época fue de 177 naves con 235,549 TM., de las cuales 131,745 TM, eran carga de exportación y el resto de importación. En los años setenta el tonelaje movilizado por el Puerto de Cutuco era carga de exportación, principalmente algodón y café; y la importación estaba constituida por abono y aceite comestible a granel y hierro.</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 Sin embargo a finales de esos años, empezaron a surgir factores que dejaron en segundo plano al Puerto de Cutuco, en primer lugar la presencia de un nuevo y moderno puerto en la región occidental es decir el Puerto de Acajutla, brindando comparativamente un mejor servicio, en relación a tiempos de carga y descarga, y por ende menos horas en muelle y puertos, lo cual resultaba muy atractivo para los armadores (propietarios de barcos) y agencias navieras destacadas en el país. Otro factor que aceleró y agudizó el problema del Puerto de Cutuco fue, que la zona oriental empezó a ser duramente castigada por el conflicto armado, por lo que el desarrollo en la región se detuvo. Como resultado directo del conflicto se tiene la destrucción del aparato agro exportador de oriente, principalmente el cultivo del algodón y el café, y como efecto indirecto la disminución del abono de importación.</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En general, cualquier actividad económica en la zona se volvió altamente riesgosa, así como el tránsito por sus vías de comunicación, carreteras y vías férreas, surgiendo así, más ventajas comparativas a favor del Puerto de Acajutla, por ser un puerto moderno, a menor distancia de San Salvador, y ubicado en una zona relativamente más </w:t>
      </w:r>
      <w:r w:rsidRPr="00201277">
        <w:rPr>
          <w:rFonts w:ascii="Arial" w:hAnsi="Arial" w:cs="Arial"/>
          <w:sz w:val="22"/>
          <w:szCs w:val="22"/>
        </w:rPr>
        <w:lastRenderedPageBreak/>
        <w:t xml:space="preserve">segura y menos castigada por el conflicto armado. Los primeros cinco años antes del conflicto armado, el Puerto de Cutuco reflejó resultados positivos, posteriormente presentó una situación de déficit, que a partir de 1986 fue incrementándose año con año, hasta que 1991 se tomó la decisión de indemnizar al personal de operaciones, para reducir los costos fijos del puerto, y en adelante, trabajar la carga y descarga de los buques con personal contratado por obra.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16" type="#_x0000_t202" style="position:absolute;left:0;text-align:left;margin-left:215.65pt;margin-top:123.25pt;width:31.8pt;height:21pt;z-index:251744256;mso-height-percent:200;mso-height-percent:200;mso-width-relative:margin;mso-height-relative:margin" fillcolor="white [3212]" stroked="f">
            <v:textbox style="mso-next-textbox:#_x0000_s1116;mso-fit-shape-to-text:t">
              <w:txbxContent>
                <w:p w:rsidR="00AC7D7B" w:rsidRDefault="00AC7D7B" w:rsidP="006F39C3">
                  <w:r>
                    <w:t>69</w:t>
                  </w:r>
                </w:p>
              </w:txbxContent>
            </v:textbox>
          </v:shape>
        </w:pict>
      </w:r>
      <w:r w:rsidR="00197AA0" w:rsidRPr="00201277">
        <w:rPr>
          <w:rFonts w:ascii="Arial" w:hAnsi="Arial" w:cs="Arial"/>
          <w:sz w:val="22"/>
          <w:szCs w:val="22"/>
        </w:rPr>
        <w:t>Por otro lado es elemental hacer notar</w:t>
      </w:r>
      <w:r w:rsidR="00197AA0">
        <w:rPr>
          <w:rFonts w:ascii="Arial" w:hAnsi="Arial" w:cs="Arial"/>
          <w:sz w:val="22"/>
          <w:szCs w:val="22"/>
        </w:rPr>
        <w:t xml:space="preserve"> que el actual Puerto de L</w:t>
      </w:r>
      <w:r w:rsidR="00197AA0" w:rsidRPr="00201277">
        <w:rPr>
          <w:rFonts w:ascii="Arial" w:hAnsi="Arial" w:cs="Arial"/>
          <w:sz w:val="22"/>
          <w:szCs w:val="22"/>
        </w:rPr>
        <w:t>a Unión ha sido construido en la misma zona donde se encontraba el Puerto de Cutuco, de ahí que es de gran importancia hacer una reseña histórica de dicho puerto, el cual estaba ubicado en la Bahía de La Unión en el Golfo de Fonseca, construido en 1915 por la empresa The Internacional Railway of Central América (IRCA), durante muchos años dicho puerto realizó operaciones como una estación terminal del ferrocarril, para la movilización de carga a granel líquida y pasajeros. El puente de acceso al muelle tenía una longitud de 150 metros por 4.9 metros de ancho. Haciendo una descripción del Puerto de Cutuco, se puede decir que este contaba con una estructura principal constituida por vigas y losas de concreto, soportadas por pilotes de concreto y de metal. El muelle de atraque tenía 172 metros de largo por 29 metros de ancho, tomando como referencia el eje del muelle. Contaba con dos atracaderos: uno al costado Norte, con longitud de 172 metros y otro al costado Sur, con longitud de 150 metros.</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 De igual forma existía una bodega de tránsito, la cual la conformaba una estructura metálica prefabricada de paredes corredizas de aluminio con un área de 1,865 mts². La carga se hacía llegar al muelle por medio de vagones de ferrocarril que corrían por una vía de 683 metros de longitud y 0.914 metros (36 pulgadas) de trocha. La vía se dividía en el muelle, continuando con dos vías al costado Norte y una al costado Sur.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Estas tres vías estaban paralelas al eje del muelle. De ahí que puede decirse que el Puerto de Cutuco fue creado como un puerto ferro portuario, dado que en la carga y descarga de los vagones, el ferrocarril jugaba un papel muy importante, primordialmente en el traslado de la mercadería desde el barco a las bodegas en tierra y viceversa. Por lo que era factible el traslado de la mercadería directamente del costado del barco hacia estaciones de destino en el interior del país (importación), y de éstas al barco (exportación), cabe resaltar que tanto la red ferroviaria como este tipo de puertos </w:t>
      </w:r>
      <w:r w:rsidRPr="00201277">
        <w:rPr>
          <w:rFonts w:ascii="Arial" w:hAnsi="Arial" w:cs="Arial"/>
          <w:sz w:val="22"/>
          <w:szCs w:val="22"/>
        </w:rPr>
        <w:lastRenderedPageBreak/>
        <w:t>contribuyeron al desarrollo del país, desde fines del siglo pasado hasta la fecha. Los otros dos puertos de igual sistema que Cutuco ya desaparecieron: El Puerto de La Libertad y el antiguo Puerto de Acajutla</w:t>
      </w:r>
      <w:r w:rsidRPr="00201277">
        <w:rPr>
          <w:rStyle w:val="Refdenotaalpie"/>
          <w:rFonts w:ascii="Arial" w:hAnsi="Arial" w:cs="Arial"/>
          <w:sz w:val="22"/>
          <w:szCs w:val="22"/>
        </w:rPr>
        <w:footnoteReference w:id="117"/>
      </w:r>
      <w:r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17" type="#_x0000_t202" style="position:absolute;left:0;text-align:left;margin-left:196.8pt;margin-top:171.55pt;width:31.8pt;height:21pt;z-index:251745280;mso-height-percent:200;mso-height-percent:200;mso-width-relative:margin;mso-height-relative:margin" fillcolor="white [3212]" stroked="f">
            <v:textbox style="mso-next-textbox:#_x0000_s1117;mso-fit-shape-to-text:t">
              <w:txbxContent>
                <w:p w:rsidR="00AC7D7B" w:rsidRDefault="00AC7D7B" w:rsidP="006F39C3">
                  <w:r>
                    <w:t>70</w:t>
                  </w:r>
                </w:p>
              </w:txbxContent>
            </v:textbox>
          </v:shape>
        </w:pict>
      </w:r>
      <w:r w:rsidR="00197AA0" w:rsidRPr="00201277">
        <w:rPr>
          <w:rFonts w:ascii="Arial" w:hAnsi="Arial" w:cs="Arial"/>
          <w:sz w:val="22"/>
          <w:szCs w:val="22"/>
        </w:rPr>
        <w:t xml:space="preserve">Sin embargo, </w:t>
      </w:r>
      <w:r w:rsidR="00197AA0" w:rsidRPr="00201277">
        <w:rPr>
          <w:rFonts w:ascii="Arial" w:hAnsi="Arial" w:cs="Arial"/>
          <w:i/>
          <w:sz w:val="22"/>
          <w:szCs w:val="22"/>
        </w:rPr>
        <w:t>el transporte marítimo en un nodo vital para el transporte en la cadena logística que facilita la actividad productiva y por ende apoya el desarrollo económico y a los procesos de negocios de las empresas e instituciones nacionales e internacionales</w:t>
      </w:r>
      <w:r w:rsidR="00197AA0" w:rsidRPr="00201277">
        <w:rPr>
          <w:rStyle w:val="Refdenotaalpie"/>
          <w:rFonts w:ascii="Arial" w:hAnsi="Arial" w:cs="Arial"/>
          <w:i/>
          <w:sz w:val="22"/>
          <w:szCs w:val="22"/>
        </w:rPr>
        <w:footnoteReference w:id="118"/>
      </w:r>
      <w:r w:rsidR="00197AA0" w:rsidRPr="00201277">
        <w:rPr>
          <w:rFonts w:ascii="Arial" w:hAnsi="Arial" w:cs="Arial"/>
          <w:i/>
          <w:sz w:val="22"/>
          <w:szCs w:val="22"/>
        </w:rPr>
        <w:t xml:space="preserve">. </w:t>
      </w:r>
      <w:r w:rsidR="00197AA0" w:rsidRPr="00201277">
        <w:rPr>
          <w:rFonts w:ascii="Arial" w:hAnsi="Arial" w:cs="Arial"/>
          <w:sz w:val="22"/>
          <w:szCs w:val="22"/>
        </w:rPr>
        <w:t>De ahí que la construcción del Puerto de La Unión es el resultado de esa necesidad como país. Ya que la infraestructura juega un rol central en el desarrollo de los países, tanto en el ámbito económico como en el social. La relación positiva entre infraestructura y crecimiento económico ha sido ampliamente analizada y difundida, encontrándose que ante una cierta mejora en la provisión de infraestructura es esperable encontrar avances en la economía, producto de una mejor conectividad, reducción de los costos de transporte y mejorías en la cadena logística en general.</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 xml:space="preserve">Al respecto: </w:t>
      </w:r>
      <w:r w:rsidRPr="00201277">
        <w:rPr>
          <w:rFonts w:ascii="Arial" w:hAnsi="Arial" w:cs="Arial"/>
          <w:i/>
          <w:sz w:val="22"/>
          <w:szCs w:val="22"/>
        </w:rPr>
        <w:t>la infraestructura básica y la provisión eficiente de servicios de infraestructura son vehículos de cohesión territorial, económica y social porque integran y articulan el territorio, lo hacen accesible desde el exterior y permiten a sus habitantes conectarse con el entorno, además de dotarlo de servicios fundamentales para la producción y para el mejoramiento de la condiciones y calidad de vida de las personas</w:t>
      </w:r>
      <w:r w:rsidRPr="00201277">
        <w:rPr>
          <w:rStyle w:val="Refdenotaalpie"/>
          <w:rFonts w:ascii="Arial" w:hAnsi="Arial" w:cs="Arial"/>
          <w:i/>
          <w:sz w:val="22"/>
          <w:szCs w:val="22"/>
        </w:rPr>
        <w:footnoteReference w:id="119"/>
      </w:r>
      <w:r w:rsidRPr="00201277">
        <w:rPr>
          <w:rFonts w:ascii="Arial" w:hAnsi="Arial" w:cs="Arial"/>
          <w:i/>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18" type="#_x0000_t202" style="position:absolute;left:0;text-align:left;margin-left:224.9pt;margin-top:462.7pt;width:31.8pt;height:21pt;z-index:251746304;mso-height-percent:200;mso-height-percent:200;mso-width-relative:margin;mso-height-relative:margin" fillcolor="white [3212]" stroked="f">
            <v:textbox style="mso-next-textbox:#_x0000_s1118;mso-fit-shape-to-text:t">
              <w:txbxContent>
                <w:p w:rsidR="00AC7D7B" w:rsidRDefault="00AC7D7B" w:rsidP="006F39C3">
                  <w:r>
                    <w:t>71</w:t>
                  </w:r>
                </w:p>
              </w:txbxContent>
            </v:textbox>
          </v:shape>
        </w:pict>
      </w:r>
      <w:r w:rsidR="00197AA0" w:rsidRPr="00201277">
        <w:rPr>
          <w:rFonts w:ascii="Arial" w:hAnsi="Arial" w:cs="Arial"/>
          <w:sz w:val="22"/>
          <w:szCs w:val="22"/>
        </w:rPr>
        <w:t>La infraestructura no sólo representa incrementos en la competitividad, sino que a la misma vez expande la actividad comercial, la inversión privada. De igual forma facilita el desarrollo social de las regiones cuya economía es deficiente, como el caso de la economía salvadoreña. En el plano regional, el desarrollo de obras de infraestructura coordinadas, permite no sólo una mejora en la prestación de servicios de infraestructura, sino que además favorece la integración política y social entre los países, en esta línea es importante mencionar el Proceso de Integración Centroamericano, dirigido por el Sistema de Integración Centroamericano, SICA</w:t>
      </w:r>
      <w:r w:rsidR="00197AA0" w:rsidRPr="00201277">
        <w:rPr>
          <w:rStyle w:val="Refdenotaalpie"/>
          <w:rFonts w:ascii="Arial" w:hAnsi="Arial" w:cs="Arial"/>
          <w:sz w:val="22"/>
          <w:szCs w:val="22"/>
        </w:rPr>
        <w:footnoteReference w:customMarkFollows="1" w:id="120"/>
        <w:sym w:font="Symbol" w:char="F02A"/>
      </w:r>
      <w:r w:rsidR="00197AA0" w:rsidRPr="00201277">
        <w:rPr>
          <w:rFonts w:ascii="Arial" w:hAnsi="Arial" w:cs="Arial"/>
          <w:sz w:val="22"/>
          <w:szCs w:val="22"/>
        </w:rPr>
        <w:t xml:space="preserve">, que juega una importante labor, ya que por </w:t>
      </w:r>
      <w:r w:rsidR="00197AA0" w:rsidRPr="00201277">
        <w:rPr>
          <w:rFonts w:ascii="Arial" w:hAnsi="Arial" w:cs="Arial"/>
          <w:sz w:val="22"/>
          <w:szCs w:val="22"/>
        </w:rPr>
        <w:lastRenderedPageBreak/>
        <w:t>medio de esta instancia supranacional se van fomentando relaciones comerciales con los países miembros, ya que como resultado de los esfuerzos entre dichos miembros se han formado instancias como la Comisión Centroamericana de Transporte Marítimo, COCATRAM</w:t>
      </w:r>
      <w:r w:rsidR="00197AA0" w:rsidRPr="00201277">
        <w:rPr>
          <w:rStyle w:val="Refdenotaalpie"/>
          <w:rFonts w:ascii="Arial" w:hAnsi="Arial" w:cs="Arial"/>
          <w:sz w:val="22"/>
          <w:szCs w:val="22"/>
        </w:rPr>
        <w:footnoteReference w:customMarkFollows="1" w:id="121"/>
        <w:sym w:font="Symbol" w:char="F02A"/>
      </w:r>
      <w:r w:rsidR="00197AA0" w:rsidRPr="00201277">
        <w:rPr>
          <w:rStyle w:val="Refdenotaalpie"/>
          <w:rFonts w:ascii="Arial" w:hAnsi="Arial" w:cs="Arial"/>
          <w:sz w:val="22"/>
          <w:szCs w:val="22"/>
        </w:rPr>
        <w:sym w:font="Symbol" w:char="F02A"/>
      </w:r>
      <w:r w:rsidR="00197AA0" w:rsidRPr="00201277">
        <w:rPr>
          <w:rFonts w:ascii="Arial" w:hAnsi="Arial" w:cs="Arial"/>
          <w:sz w:val="22"/>
          <w:szCs w:val="22"/>
        </w:rPr>
        <w:t>, el cual atiende asuntos relativos al desarrollo marítimo y portuario de Centroamérica y su función principal es asesorar al Consejo de Ministros Responsables del Transporte en Centroamérica COMITRAN</w:t>
      </w:r>
      <w:r w:rsidR="00197AA0" w:rsidRPr="00201277">
        <w:rPr>
          <w:rStyle w:val="Refdenotaalpie"/>
          <w:rFonts w:ascii="Arial" w:hAnsi="Arial" w:cs="Arial"/>
          <w:sz w:val="22"/>
          <w:szCs w:val="22"/>
        </w:rPr>
        <w:footnoteReference w:customMarkFollows="1" w:id="122"/>
        <w:sym w:font="Symbol" w:char="F02A"/>
      </w:r>
      <w:r w:rsidR="00197AA0" w:rsidRPr="00201277">
        <w:rPr>
          <w:rStyle w:val="Refdenotaalpie"/>
          <w:rFonts w:ascii="Arial" w:hAnsi="Arial" w:cs="Arial"/>
          <w:sz w:val="22"/>
          <w:szCs w:val="22"/>
        </w:rPr>
        <w:sym w:font="Symbol" w:char="F02A"/>
      </w:r>
      <w:r w:rsidR="00197AA0" w:rsidRPr="00201277">
        <w:rPr>
          <w:rStyle w:val="Refdenotaalpie"/>
          <w:rFonts w:ascii="Arial" w:hAnsi="Arial" w:cs="Arial"/>
          <w:sz w:val="22"/>
          <w:szCs w:val="22"/>
        </w:rPr>
        <w:sym w:font="Symbol" w:char="F02A"/>
      </w:r>
      <w:r w:rsidR="00197AA0" w:rsidRPr="00201277">
        <w:rPr>
          <w:rFonts w:ascii="Arial" w:hAnsi="Arial" w:cs="Arial"/>
          <w:sz w:val="22"/>
          <w:szCs w:val="22"/>
        </w:rPr>
        <w:t xml:space="preserve"> y a los gobiernos miembros, en la adopción de políticas y decisiones, con miras a lograr un desarrollo armónico del sector, que satisfaga las necesidades del comercio exterior de los países en términos de calidad, economía y eficiencia de los servicios de transporte marítimo y portuario, que proteja y represente los intereses de la región ante intereses y organismos extra regionales.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De la COCATRAM, se han desprendido esfuerzos como lo es la Red Operativa de Cooperación Regional de Autoridades Marítimas de Centroamérica y República Dominicana ROCRAM-CA, la cual ha gestado esfuerzos lo es la Estrategia Subregional de los países de ROCRAM-CA, para implantar las disposiciones del FAL 65 y sus enmiendas (Convenio para facilitar el tráfico marítimo internacional, 1965), con lo cual se demuestra que en la región se está generando interés en relación a temas portuarios.</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 xml:space="preserve">En este mismo sentido, girado en torno a los esfuerzos centroamericanos, el Director Ejecutivo de la AMP y miembro de ROCRAM-CA, Carlos Borja, en una entrevista realizada en fecha 13 de junio de 2010, apunta: </w:t>
      </w:r>
      <w:r w:rsidRPr="00201277">
        <w:rPr>
          <w:rFonts w:ascii="Arial" w:hAnsi="Arial" w:cs="Arial"/>
          <w:i/>
          <w:sz w:val="22"/>
          <w:szCs w:val="22"/>
        </w:rPr>
        <w:t xml:space="preserve">ayudaría a convertir a la región tanto los vecinos del norte (como decir Guatemala, Honduras) en una región más competitiva y en una región más productiva. Habría una mejor interrelación, una mejor integración de los países centroamericanos. </w:t>
      </w:r>
    </w:p>
    <w:p w:rsidR="00197AA0" w:rsidRPr="00201277" w:rsidRDefault="00197AA0" w:rsidP="00232C32">
      <w:pPr>
        <w:spacing w:line="360" w:lineRule="auto"/>
        <w:ind w:right="44" w:firstLine="567"/>
        <w:jc w:val="both"/>
        <w:rPr>
          <w:rFonts w:ascii="Arial" w:hAnsi="Arial" w:cs="Arial"/>
          <w:i/>
          <w:sz w:val="22"/>
          <w:szCs w:val="22"/>
        </w:rPr>
      </w:pPr>
    </w:p>
    <w:p w:rsidR="00197AA0" w:rsidRPr="00201277"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 xml:space="preserve">Tales esfuerzos centroamericanos se convierten necesarios ya que contribuyen a suplir algún déficit de dotación de determinados recursos naturales que algunos países pudieran registrar. Más aún, una adecuada disponibilidad de obras de infraestructura, así </w:t>
      </w:r>
      <w:r w:rsidRPr="00201277">
        <w:rPr>
          <w:rFonts w:ascii="Arial" w:hAnsi="Arial" w:cs="Arial"/>
          <w:sz w:val="22"/>
          <w:szCs w:val="22"/>
        </w:rPr>
        <w:lastRenderedPageBreak/>
        <w:t xml:space="preserve">como la prestación eficiente de servicios conexos, favorecen el desarrollo de ventajas competitivas, tanto nacionales como regionales, así como un mayor grado de especialización productiva. </w:t>
      </w:r>
      <w:r w:rsidRPr="00201277">
        <w:rPr>
          <w:rFonts w:ascii="Arial" w:hAnsi="Arial" w:cs="Arial"/>
          <w:i/>
          <w:sz w:val="22"/>
          <w:szCs w:val="22"/>
        </w:rPr>
        <w:t>En su conjunto, finalmente, los efectos de un correcto desarrollo de la infraestructura conducen al crecimiento económico y facilita las condiciones para el desarrollo económico y social, por la vía de las mejoras en la productividad de los factores y de la competitividad de la economía</w:t>
      </w:r>
      <w:r w:rsidRPr="00201277">
        <w:rPr>
          <w:rStyle w:val="Refdenotaalpie"/>
          <w:rFonts w:ascii="Arial" w:hAnsi="Arial" w:cs="Arial"/>
          <w:i/>
          <w:sz w:val="22"/>
          <w:szCs w:val="22"/>
        </w:rPr>
        <w:footnoteReference w:id="123"/>
      </w:r>
      <w:r w:rsidRPr="00201277">
        <w:rPr>
          <w:rFonts w:ascii="Arial" w:hAnsi="Arial" w:cs="Arial"/>
          <w:i/>
          <w:sz w:val="22"/>
          <w:szCs w:val="22"/>
        </w:rPr>
        <w:t>.</w:t>
      </w: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19" type="#_x0000_t202" style="position:absolute;left:0;text-align:left;margin-left:164.4pt;margin-top:136.25pt;width:31.8pt;height:21pt;z-index:251747328;mso-height-percent:200;mso-height-percent:200;mso-width-relative:margin;mso-height-relative:margin" fillcolor="white [3212]" stroked="f">
            <v:textbox style="mso-next-textbox:#_x0000_s1119;mso-fit-shape-to-text:t">
              <w:txbxContent>
                <w:p w:rsidR="00AC7D7B" w:rsidRDefault="00AC7D7B" w:rsidP="007467DF">
                  <w:r>
                    <w:t>72</w:t>
                  </w:r>
                </w:p>
              </w:txbxContent>
            </v:textbox>
          </v:shape>
        </w:pict>
      </w:r>
      <w:r w:rsidR="00197AA0" w:rsidRPr="00201277">
        <w:rPr>
          <w:rFonts w:ascii="Arial" w:hAnsi="Arial" w:cs="Arial"/>
          <w:sz w:val="22"/>
          <w:szCs w:val="22"/>
        </w:rPr>
        <w:t>Los servicios de transporte poseen de igual forma un rol esencial en el desarrollo de las economías, permitiendo el desplazamiento de personas, materias primas y productos finales a través de las redes de transporte, diseñadas para cumplir con despachos en tiempo y forma al menor costo posible tanto a nivel local, nacional o internacional. A éste que constituye el ámbito tradicional del transporte, se debe agregar su rol social al proporcionar y mejorar la movilidad necesaria para acceder a los servicios asistenciales básicos por parte de toda la población, incluyendo a la población rural, y a los sectores menos favorecidos. Es por tanto, el transporte, un elemento central para viabilizar las medidas de desarrollo social que implementa el Estado, aún cuando muchas veces no sea considerado como parte de las políticas públicas sociales.</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Por otra parte, actualmente se impone la necesidad de cambiar la forma en que se abordan los temas relacionados con transporte e infraestructura, por ello, la visión de la </w:t>
      </w:r>
      <w:r w:rsidRPr="00201277">
        <w:rPr>
          <w:rFonts w:ascii="Arial" w:hAnsi="Arial" w:cs="Arial"/>
          <w:iCs/>
          <w:sz w:val="22"/>
          <w:szCs w:val="22"/>
        </w:rPr>
        <w:t xml:space="preserve">logística </w:t>
      </w:r>
      <w:r w:rsidRPr="00201277">
        <w:rPr>
          <w:rFonts w:ascii="Arial" w:hAnsi="Arial" w:cs="Arial"/>
          <w:sz w:val="22"/>
          <w:szCs w:val="22"/>
        </w:rPr>
        <w:t xml:space="preserve">la que permite encaminarse a una solución estable a los problemas identificados. Esto es así, si se considera que el concepto de logística está asociado a dos ideas básicas: primero que </w:t>
      </w:r>
      <w:r w:rsidRPr="00201277">
        <w:rPr>
          <w:rFonts w:ascii="Arial" w:hAnsi="Arial" w:cs="Arial"/>
          <w:iCs/>
          <w:sz w:val="22"/>
          <w:szCs w:val="22"/>
        </w:rPr>
        <w:t>se</w:t>
      </w:r>
      <w:r w:rsidRPr="00201277">
        <w:rPr>
          <w:rFonts w:ascii="Arial" w:hAnsi="Arial" w:cs="Arial"/>
          <w:sz w:val="22"/>
          <w:szCs w:val="22"/>
        </w:rPr>
        <w:t xml:space="preserve"> </w:t>
      </w:r>
      <w:r w:rsidRPr="00201277">
        <w:rPr>
          <w:rFonts w:ascii="Arial" w:hAnsi="Arial" w:cs="Arial"/>
          <w:iCs/>
          <w:sz w:val="22"/>
          <w:szCs w:val="22"/>
        </w:rPr>
        <w:t xml:space="preserve">sustenta en la infraestructura y el transporte </w:t>
      </w:r>
      <w:r w:rsidRPr="00201277">
        <w:rPr>
          <w:rFonts w:ascii="Arial" w:hAnsi="Arial" w:cs="Arial"/>
          <w:sz w:val="22"/>
          <w:szCs w:val="22"/>
        </w:rPr>
        <w:t xml:space="preserve">como elementos clave en su propósito de disponer de los inventarios de manera eficaz y eficiente, en segundo lugar, que dicha concepción tiene implícita la idea de </w:t>
      </w:r>
      <w:r w:rsidRPr="00201277">
        <w:rPr>
          <w:rFonts w:ascii="Arial" w:hAnsi="Arial" w:cs="Arial"/>
          <w:iCs/>
          <w:sz w:val="22"/>
          <w:szCs w:val="22"/>
        </w:rPr>
        <w:t>integración</w:t>
      </w:r>
      <w:r w:rsidRPr="00201277">
        <w:rPr>
          <w:rFonts w:ascii="Arial" w:hAnsi="Arial" w:cs="Arial"/>
          <w:sz w:val="22"/>
          <w:szCs w:val="22"/>
        </w:rPr>
        <w:t>, permitiendo una disposición eficiente de servicios de infraestructura de transporte y asociados, maximizando el aporte de éstos a la mejora de la productividad de los factores y la competitividad de las economías.</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Teniendo en cuenta la noción de logística, es necesario enfatizar que el proyecto del Puerto de La Unión, ha tomado en cuenta las bases básicas de la logística, con la novedosa infraestructura con la cual se ha creado, así como también el estudio del tipo de transporte que transitara por esta vía. Al respecto también es importante mencionar las características principales que debe cumplir un mega puerto: Poseer capacidad para </w:t>
      </w:r>
      <w:r w:rsidRPr="00201277">
        <w:rPr>
          <w:rFonts w:ascii="Arial" w:hAnsi="Arial" w:cs="Arial"/>
          <w:sz w:val="22"/>
          <w:szCs w:val="22"/>
        </w:rPr>
        <w:lastRenderedPageBreak/>
        <w:t>recibir barcos del tipo Pánamax y Post-Pánamax, capacidad de atrancamiento de varios barcos simultáneamente, capacidad de expansión de grandes envergaduras, principalmente para atender varios embarcaciones simultáneamente, por si aumenta la demanda del puerto longitud de patios.</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20" type="#_x0000_t202" style="position:absolute;left:0;text-align:left;margin-left:237pt;margin-top:163.05pt;width:31.8pt;height:21pt;z-index:251748352;mso-height-percent:200;mso-height-percent:200;mso-width-relative:margin;mso-height-relative:margin" fillcolor="white [3212]" stroked="f">
            <v:textbox style="mso-next-textbox:#_x0000_s1120;mso-fit-shape-to-text:t">
              <w:txbxContent>
                <w:p w:rsidR="00AC7D7B" w:rsidRDefault="00AC7D7B" w:rsidP="007467DF">
                  <w:r>
                    <w:t>73</w:t>
                  </w:r>
                </w:p>
              </w:txbxContent>
            </v:textbox>
          </v:shape>
        </w:pict>
      </w:r>
      <w:r w:rsidR="00197AA0" w:rsidRPr="00201277">
        <w:rPr>
          <w:rFonts w:ascii="Arial" w:hAnsi="Arial" w:cs="Arial"/>
          <w:sz w:val="22"/>
          <w:szCs w:val="22"/>
        </w:rPr>
        <w:t>Validando la información anterior, el proyecto consiste en el desarrollo de un área portuaria en la Bahía de La Unión, de aproximadamente 117 hectáreas de extensión, en la cual en la primera etapa se construyó un muelle marginal de 610 metros de frente de atraque con una profundidad de 15 metros y un área terminal de 28 hectáreas, esto dará capacidad para recibir dos barcos que no excedan los 7,000 TEUS</w:t>
      </w:r>
      <w:r w:rsidR="00197AA0" w:rsidRPr="00201277">
        <w:rPr>
          <w:rStyle w:val="Refdenotaalpie"/>
          <w:rFonts w:ascii="Arial" w:hAnsi="Arial" w:cs="Arial"/>
          <w:sz w:val="22"/>
          <w:szCs w:val="22"/>
        </w:rPr>
        <w:footnoteReference w:customMarkFollows="1" w:id="124"/>
        <w:sym w:font="Symbol" w:char="F02A"/>
      </w:r>
      <w:r w:rsidR="00197AA0" w:rsidRPr="00201277">
        <w:rPr>
          <w:rFonts w:ascii="Arial" w:hAnsi="Arial" w:cs="Arial"/>
          <w:sz w:val="22"/>
          <w:szCs w:val="22"/>
        </w:rPr>
        <w:t xml:space="preserve"> lo cual supera a Acajutla en un 60%, esto significa que barcos Pánamax y Post-Pánamax podrán atracar en aguas salvadoreñas.  La capacidad sostenible en el Puerto de La Unión, en la primera fase es de 500,000 TEUS y en la segunda y tercera fase una capacidad hasta de 1,700,000 TEUS. Adicionalmente, contará con una terminal para manejo de contenedores de aproximadamente 320m y una terminal para el manejo de gráneles de aproximadamente 230 metro cuadrados. Así como también con una terminal para barcos de pasajeros de 220 metros de longitud en el frente de atraque y 14 metros de profundidad</w:t>
      </w:r>
      <w:r w:rsidR="00197AA0" w:rsidRPr="00201277">
        <w:rPr>
          <w:rStyle w:val="Refdenotaalpie"/>
          <w:rFonts w:ascii="Arial" w:hAnsi="Arial" w:cs="Arial"/>
          <w:sz w:val="22"/>
          <w:szCs w:val="22"/>
        </w:rPr>
        <w:footnoteReference w:id="125"/>
      </w:r>
      <w:r w:rsidR="00197AA0"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La importancia de la generación de una infraestructura adecuada, resulta de gran transcendencia ya que más del 90% del comercio mundial es transportado por el mar, que se mantiene como el principal eslabón de la cadena comercial. En el 2007 el volumen de comercio marítimo alcanzó los 8.02 billones de toneladas. De hecho durante las últimas tres décadas, la tasa anual promedio de crecimiento se estimó en un 3%</w:t>
      </w:r>
      <w:r w:rsidRPr="00201277">
        <w:rPr>
          <w:rStyle w:val="Refdenotaalpie"/>
          <w:rFonts w:ascii="Arial" w:hAnsi="Arial" w:cs="Arial"/>
          <w:sz w:val="22"/>
          <w:szCs w:val="22"/>
        </w:rPr>
        <w:footnoteReference w:id="126"/>
      </w:r>
      <w:r w:rsidRPr="00201277">
        <w:rPr>
          <w:rFonts w:ascii="Arial" w:hAnsi="Arial" w:cs="Arial"/>
          <w:sz w:val="22"/>
          <w:szCs w:val="22"/>
        </w:rPr>
        <w:t xml:space="preserve">. De ahí que el Puerto de La Unión sea de vital importancia para la economía salvadoreña.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bCs/>
          <w:i/>
          <w:sz w:val="22"/>
          <w:szCs w:val="22"/>
        </w:rPr>
      </w:pPr>
      <w:r w:rsidRPr="001D7573">
        <w:rPr>
          <w:rFonts w:ascii="Arial" w:hAnsi="Arial" w:cs="Arial"/>
          <w:noProof/>
          <w:sz w:val="22"/>
          <w:szCs w:val="22"/>
        </w:rPr>
        <w:pict>
          <v:shape id="_x0000_s1121" type="#_x0000_t202" style="position:absolute;left:0;text-align:left;margin-left:177.2pt;margin-top:373.4pt;width:31.8pt;height:21pt;z-index:251749376;mso-height-percent:200;mso-height-percent:200;mso-width-relative:margin;mso-height-relative:margin" fillcolor="white [3212]" stroked="f">
            <v:textbox style="mso-next-textbox:#_x0000_s1121;mso-fit-shape-to-text:t">
              <w:txbxContent>
                <w:p w:rsidR="00AC7D7B" w:rsidRDefault="00AC7D7B" w:rsidP="007467DF">
                  <w:r>
                    <w:t>74</w:t>
                  </w:r>
                </w:p>
              </w:txbxContent>
            </v:textbox>
          </v:shape>
        </w:pict>
      </w:r>
      <w:r w:rsidR="00197AA0" w:rsidRPr="00201277">
        <w:rPr>
          <w:rFonts w:ascii="Arial" w:hAnsi="Arial" w:cs="Arial"/>
          <w:sz w:val="22"/>
          <w:szCs w:val="22"/>
        </w:rPr>
        <w:t xml:space="preserve">Sin embargo existen posturas que han desacreditado el buen funcionamiento del sistema portuario de la región centroamericana, contrastando las visiones presentadas </w:t>
      </w:r>
      <w:r w:rsidR="00197AA0" w:rsidRPr="00201277">
        <w:rPr>
          <w:rFonts w:ascii="Arial" w:hAnsi="Arial" w:cs="Arial"/>
          <w:sz w:val="22"/>
          <w:szCs w:val="22"/>
        </w:rPr>
        <w:lastRenderedPageBreak/>
        <w:t>por instancias ya tratadas en la presente investigación. Al respecto cabe mencionar a Mario Umaña</w:t>
      </w:r>
      <w:r w:rsidR="00197AA0" w:rsidRPr="005D430C">
        <w:rPr>
          <w:rStyle w:val="Refdenotaalpie"/>
          <w:rFonts w:ascii="Arial" w:hAnsi="Arial"/>
          <w:sz w:val="22"/>
          <w:szCs w:val="22"/>
        </w:rPr>
        <w:footnoteReference w:customMarkFollows="1" w:id="127"/>
        <w:sym w:font="Symbol" w:char="F02A"/>
      </w:r>
      <w:r w:rsidR="00197AA0" w:rsidRPr="005D430C">
        <w:rPr>
          <w:rStyle w:val="Refdenotaalpie"/>
          <w:rFonts w:ascii="Arial" w:hAnsi="Arial"/>
          <w:sz w:val="22"/>
          <w:szCs w:val="22"/>
        </w:rPr>
        <w:sym w:font="Symbol" w:char="F02A"/>
      </w:r>
      <w:r w:rsidR="00197AA0" w:rsidRPr="00201277">
        <w:rPr>
          <w:rFonts w:ascii="Arial" w:hAnsi="Arial" w:cs="Arial"/>
          <w:sz w:val="22"/>
          <w:szCs w:val="22"/>
        </w:rPr>
        <w:t xml:space="preserve"> en su estudio </w:t>
      </w:r>
      <w:r w:rsidR="00197AA0" w:rsidRPr="00201277">
        <w:rPr>
          <w:rFonts w:ascii="Arial" w:hAnsi="Arial" w:cs="Arial"/>
          <w:bCs/>
          <w:sz w:val="22"/>
          <w:szCs w:val="22"/>
        </w:rPr>
        <w:t>Infraestructura Avanzada de Transportes para el Desarrollo Sostenible y la Integración de Centroamérica, analiza la problemática en donde aborda la situación que se genera en la región y apunta al referirse a las instituciones que realizan estudios de diagnósticos</w:t>
      </w:r>
      <w:r w:rsidR="00197AA0" w:rsidRPr="005D430C">
        <w:rPr>
          <w:rStyle w:val="Refdenotaalpie"/>
          <w:rFonts w:ascii="Arial" w:hAnsi="Arial"/>
          <w:bCs/>
          <w:sz w:val="22"/>
          <w:szCs w:val="22"/>
        </w:rPr>
        <w:footnoteReference w:customMarkFollows="1" w:id="128"/>
        <w:sym w:font="Symbol" w:char="F02A"/>
      </w:r>
      <w:r w:rsidR="00197AA0" w:rsidRPr="00201277">
        <w:rPr>
          <w:rFonts w:ascii="Arial" w:hAnsi="Arial" w:cs="Arial"/>
          <w:bCs/>
          <w:sz w:val="22"/>
          <w:szCs w:val="22"/>
        </w:rPr>
        <w:t xml:space="preserve">: </w:t>
      </w:r>
      <w:r w:rsidR="00197AA0" w:rsidRPr="00201277">
        <w:rPr>
          <w:rFonts w:ascii="Arial" w:hAnsi="Arial" w:cs="Arial"/>
          <w:bCs/>
          <w:i/>
          <w:sz w:val="22"/>
          <w:szCs w:val="22"/>
        </w:rPr>
        <w:t>Centroamérica se encuentra muy lejos de contar con la infraestructura de transportes y los servicios de clase mundial que necesita para dar un salto cualitativo en su desarrollo, a pesar de estar ubicada en una posición geográfica privilegiada, sirviendo como puente entre naciones. El problema principal no es la falta de estudios, sino la incapacidad para implementar proyectos y tomar decisiones especialmente en lo referido a nuevas formas de financiamiento y a la apertura de mercados...</w:t>
      </w:r>
      <w:r w:rsidR="00197AA0" w:rsidRPr="00201277">
        <w:rPr>
          <w:rFonts w:ascii="Arial" w:hAnsi="Arial" w:cs="Arial"/>
          <w:sz w:val="22"/>
          <w:szCs w:val="22"/>
        </w:rPr>
        <w:t xml:space="preserve"> </w:t>
      </w:r>
      <w:r w:rsidR="00197AA0" w:rsidRPr="00201277">
        <w:rPr>
          <w:rFonts w:ascii="Arial" w:hAnsi="Arial" w:cs="Arial"/>
          <w:bCs/>
          <w:i/>
          <w:sz w:val="22"/>
          <w:szCs w:val="22"/>
        </w:rPr>
        <w:t>Los puertos regionales se presentan como empresas desgastadas, corroídas por la ineficiencia administrativa y la interferencia política, la falta de capacidad para construir, mantener y operar la infraestructura con servicios de clase mundial, y un marco legal inadecuado para enfrentar los cambios e introducir los principios del mercado, aun considerando que la mayoría de ellos no son especializados y que la actividad de manejo de contenedores no está generalizada. La consecuencia principal de lo anterior es mayor costo en el precio del transporte desde la región y hacia ella…</w:t>
      </w:r>
      <w:r w:rsidR="00197AA0" w:rsidRPr="00201277">
        <w:rPr>
          <w:rFonts w:ascii="Arial" w:hAnsi="Arial" w:cs="Arial"/>
          <w:sz w:val="22"/>
          <w:szCs w:val="22"/>
        </w:rPr>
        <w:t xml:space="preserve"> </w:t>
      </w:r>
      <w:r w:rsidR="00197AA0" w:rsidRPr="00201277">
        <w:rPr>
          <w:rFonts w:ascii="Arial" w:hAnsi="Arial" w:cs="Arial"/>
          <w:bCs/>
          <w:i/>
          <w:sz w:val="22"/>
          <w:szCs w:val="22"/>
        </w:rPr>
        <w:t>Los beneficios laborales producto de las convenciones colectivas de trabajo son excesivos y desproporcionados en relación con el resto del sector laboral de los países. La mayoría del personal operativo es poco calificado y una gran parte se dedica a labores extra portuarias</w:t>
      </w:r>
      <w:r w:rsidR="00197AA0" w:rsidRPr="00201277">
        <w:rPr>
          <w:rStyle w:val="Refdenotaalpie"/>
          <w:rFonts w:ascii="Arial" w:hAnsi="Arial" w:cs="Arial"/>
          <w:bCs/>
          <w:i/>
          <w:sz w:val="22"/>
          <w:szCs w:val="22"/>
        </w:rPr>
        <w:footnoteReference w:id="129"/>
      </w:r>
      <w:r w:rsidR="00197AA0" w:rsidRPr="00201277">
        <w:rPr>
          <w:rFonts w:ascii="Arial" w:hAnsi="Arial" w:cs="Arial"/>
          <w:bCs/>
          <w:i/>
          <w:sz w:val="22"/>
          <w:szCs w:val="22"/>
        </w:rPr>
        <w:t>.</w:t>
      </w:r>
    </w:p>
    <w:p w:rsidR="00197AA0" w:rsidRPr="00201277" w:rsidRDefault="00197AA0" w:rsidP="00232C32">
      <w:pPr>
        <w:spacing w:line="360" w:lineRule="auto"/>
        <w:ind w:right="44" w:firstLine="567"/>
        <w:jc w:val="both"/>
        <w:rPr>
          <w:rFonts w:ascii="Arial" w:hAnsi="Arial" w:cs="Arial"/>
          <w:bCs/>
          <w:i/>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En atención a lo anteriormente referido, resulta interesante hacer una breve evaluación de los avances que se han tenido en todos los componentes logísticos relacionados con el Puerto de La Unión, específicamente, para poder tener un panorama más amplio de dicha terminal marítima.</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22" type="#_x0000_t202" style="position:absolute;left:0;text-align:left;margin-left:201.25pt;margin-top:350.15pt;width:31.8pt;height:21pt;z-index:251750400;mso-height-percent:200;mso-height-percent:200;mso-width-relative:margin;mso-height-relative:margin" fillcolor="white [3212]" stroked="f">
            <v:textbox style="mso-next-textbox:#_x0000_s1122;mso-fit-shape-to-text:t">
              <w:txbxContent>
                <w:p w:rsidR="00AC7D7B" w:rsidRDefault="00AC7D7B" w:rsidP="007467DF">
                  <w:r>
                    <w:t>75</w:t>
                  </w:r>
                </w:p>
              </w:txbxContent>
            </v:textbox>
          </v:shape>
        </w:pict>
      </w:r>
      <w:r w:rsidR="00197AA0" w:rsidRPr="00201277">
        <w:rPr>
          <w:rFonts w:ascii="Arial" w:hAnsi="Arial" w:cs="Arial"/>
          <w:sz w:val="22"/>
          <w:szCs w:val="22"/>
        </w:rPr>
        <w:t xml:space="preserve">De esta manera es necesario recordar que la construcción del actual Puerto de La Unión, ha sido llevada a cabo desde hace varios años, ya que dicho proyecto comienza a gestarse en el año de 1994, durante el periodo presidencial del Doctor Armando Calderón Sol, (que fungió como jefe de Estado desde el 1 de junio de 1994 al 1 de Junio de 1999), </w:t>
      </w:r>
      <w:r w:rsidR="00197AA0" w:rsidRPr="00201277">
        <w:rPr>
          <w:rFonts w:ascii="Arial" w:hAnsi="Arial" w:cs="Arial"/>
          <w:sz w:val="22"/>
          <w:szCs w:val="22"/>
        </w:rPr>
        <w:lastRenderedPageBreak/>
        <w:t>con el apoyo de la Agencia de Cooperación Internacional de Japón (JICA)</w:t>
      </w:r>
      <w:r w:rsidR="00197AA0" w:rsidRPr="005D430C">
        <w:rPr>
          <w:rStyle w:val="Refdenotaalpie"/>
          <w:rFonts w:ascii="Arial" w:hAnsi="Arial"/>
          <w:sz w:val="22"/>
          <w:szCs w:val="22"/>
        </w:rPr>
        <w:footnoteReference w:customMarkFollows="1" w:id="130"/>
        <w:sym w:font="Symbol" w:char="F02A"/>
      </w:r>
      <w:r w:rsidR="00197AA0" w:rsidRPr="005D430C">
        <w:rPr>
          <w:rStyle w:val="Refdenotaalpie"/>
          <w:rFonts w:ascii="Arial" w:hAnsi="Arial"/>
          <w:sz w:val="22"/>
          <w:szCs w:val="22"/>
        </w:rPr>
        <w:sym w:font="Symbol" w:char="F02A"/>
      </w:r>
      <w:r w:rsidR="00197AA0" w:rsidRPr="00201277">
        <w:rPr>
          <w:rFonts w:ascii="Arial" w:hAnsi="Arial" w:cs="Arial"/>
          <w:sz w:val="22"/>
          <w:szCs w:val="22"/>
        </w:rPr>
        <w:t>, institución que se encarga de los aspectos técnicos de cooperación de los programas de la Agencia de Desarrollo Exterior de Japón, y trabaja en conjunto con el Banco japonés de Cooperación Internacional (JBIC), el cual otorga préstamos y financiamiento de proyectos, ejecutando los programas de cooperación técnica en base a solicitudes de los países que están en vías de desarrollo. Para marzo de 1999 se tenía finalizado el estudio de factibilidad, con el que se aseguraba que el nuevo puerto era viable para el desarrollo del país, exactamente donde había nacido el Puerto de Cutuco a principios del siglo XX.</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En este sentido para el 25 de octubre de 2001, la Asamblea Legislativa autorizó suscribir el convenio de préstamo entre El Salvador y el JBIC, que fue ratificado el 18 de diciembre del mismo año. El 15 de noviembre de 2002, se publicó la invitación internacional para la precalificación de empresas para la construcción del proyecto. La venta de documentos se programó entre el 18 de noviembre y el 20 de diciembre de 2002. Un total de 53 empresas compraron documentos de precalificación, las empresas precalificadas fueron los consorcios: Toa Corporation/Jan De Nul</w:t>
      </w:r>
      <w:r w:rsidRPr="005D430C">
        <w:rPr>
          <w:rStyle w:val="Refdenotaalpie"/>
          <w:rFonts w:ascii="Arial" w:hAnsi="Arial"/>
          <w:sz w:val="22"/>
          <w:szCs w:val="22"/>
        </w:rPr>
        <w:footnoteReference w:customMarkFollows="1" w:id="131"/>
        <w:sym w:font="Symbol" w:char="F02A"/>
      </w:r>
      <w:r w:rsidRPr="00201277">
        <w:rPr>
          <w:rFonts w:ascii="Arial" w:hAnsi="Arial" w:cs="Arial"/>
          <w:sz w:val="22"/>
          <w:szCs w:val="22"/>
        </w:rPr>
        <w:t>, Penta Ocean/Hazama</w:t>
      </w:r>
      <w:r w:rsidRPr="005D430C">
        <w:rPr>
          <w:rStyle w:val="Refdenotaalpie"/>
          <w:rFonts w:ascii="Arial" w:hAnsi="Arial"/>
          <w:sz w:val="22"/>
          <w:szCs w:val="22"/>
        </w:rPr>
        <w:footnoteReference w:customMarkFollows="1" w:id="132"/>
        <w:sym w:font="Symbol" w:char="F02A"/>
      </w:r>
      <w:r w:rsidRPr="005D430C">
        <w:rPr>
          <w:rStyle w:val="Refdenotaalpie"/>
          <w:rFonts w:ascii="Arial" w:hAnsi="Arial"/>
          <w:sz w:val="22"/>
          <w:szCs w:val="22"/>
        </w:rPr>
        <w:sym w:font="Symbol" w:char="F02A"/>
      </w:r>
      <w:r w:rsidRPr="00201277">
        <w:rPr>
          <w:rFonts w:ascii="Arial" w:hAnsi="Arial" w:cs="Arial"/>
          <w:sz w:val="22"/>
          <w:szCs w:val="22"/>
        </w:rPr>
        <w:t xml:space="preserve"> y la empresa Wakachiku Construction Co, quienes presentaron sus ofertas técnicas y económicas el 16 de abril de 2004</w:t>
      </w:r>
      <w:r w:rsidRPr="00201277">
        <w:rPr>
          <w:rStyle w:val="Refdenotaalpie"/>
          <w:rFonts w:ascii="Arial" w:hAnsi="Arial" w:cs="Arial"/>
          <w:sz w:val="22"/>
          <w:szCs w:val="22"/>
        </w:rPr>
        <w:footnoteReference w:id="133"/>
      </w:r>
      <w:r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En esta misma línea para el 21 de mayo de 2004, CEPA remitió al JBIC los resultados del reporte de evaluación final de las ofertas, pidiéndole la respectiva autorización para iniciar el proceso de negociación con el Consorcio TOA Corporation/Jan De Nul, el cual presentó la oferta con el valor más bajo. Para la fecha 9 de julio de 2004, </w:t>
      </w:r>
      <w:r w:rsidRPr="00201277">
        <w:rPr>
          <w:rFonts w:ascii="Arial" w:hAnsi="Arial" w:cs="Arial"/>
          <w:sz w:val="22"/>
          <w:szCs w:val="22"/>
        </w:rPr>
        <w:lastRenderedPageBreak/>
        <w:t xml:space="preserve">se invitó a dicho consorcio a proceder a la fase de negociación, que finalizó con un monto de $131, 985,000.00 dólares.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23" type="#_x0000_t202" style="position:absolute;left:0;text-align:left;margin-left:186.85pt;margin-top:327.3pt;width:31.8pt;height:21pt;z-index:251751424;mso-height-percent:200;mso-height-percent:200;mso-width-relative:margin;mso-height-relative:margin" fillcolor="white [3212]" stroked="f">
            <v:textbox style="mso-next-textbox:#_x0000_s1123;mso-fit-shape-to-text:t">
              <w:txbxContent>
                <w:p w:rsidR="00AC7D7B" w:rsidRDefault="00AC7D7B" w:rsidP="007467DF">
                  <w:r>
                    <w:t>76</w:t>
                  </w:r>
                </w:p>
              </w:txbxContent>
            </v:textbox>
          </v:shape>
        </w:pict>
      </w:r>
      <w:r w:rsidR="00197AA0" w:rsidRPr="00201277">
        <w:rPr>
          <w:rFonts w:ascii="Arial" w:hAnsi="Arial" w:cs="Arial"/>
          <w:sz w:val="22"/>
          <w:szCs w:val="22"/>
        </w:rPr>
        <w:t>Es así como para el año de 2005, el entonces Presidente de la República, Elías Antonio Saca, en compañía de los Presidentes Centroamericanos del Grupo C-4, dió por iniciado el proceso de construcción del nuevo Puerto de La Unión. El proyecto de infraestructura portuaria más importante de El Salvador de los últimos 20 años, con lo cual el Gobierno pretende impulsar una estrategia de despegue que lleve progreso a toda la zona oriental del país, por medio de una visión de largo plazo contemplada en el Programa Presidencial El Salvador Siglo XXI, y utilizando el Puerto de La Unión como motor del desarrollo de la Zona Oriental, convirtiendo a el país en un centro logístico de distribución regional.</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En la presencia del Presidente Elías Antonio Saca se firmó el día miércoles 16 de marzo de 2005, el contrato de construcción del nuevo Puerto La Unión. El contrato fue suscrito por el Presidente  de ese entonces de la Comisión Ejecutiva Portuaria Autónoma (CEPA), licenciado Juan José Llort y el señor Hiroshi Shirasu, Vice Presidente de la Corporación Toa. El contrato contempla todos los lineamientos y estándares requeridos por CEPA para la realización de la obra.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Así mismo en el marco de la activación de las operaciones en el Puerto de La Unión, se otorgó a la terminal marítima el 28 de mayo de 2010 un certificado que garantiza las normas de seguridad bajo la OMI. El Gobierno de El Salvador, a través de la AMP, en el marco de las disposiciones de seguridad internacionales a nivel mundial, otorgó a la administración del Puerto La Unión, un certificado de seguridad que proyectan facilitará la recepción de buques internacionales.</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 En la misma línea, el día domingo 30 de mayo de 2010 se dio la llegada del primer barco de carga al Nuevo Puerto de La Unión, el buque multipropósito M/V Rickmers Dalian, el cual transportó las 5 Grúas RTG</w:t>
      </w:r>
      <w:r w:rsidRPr="00201277">
        <w:rPr>
          <w:rStyle w:val="Refdenotaalpie"/>
          <w:rFonts w:ascii="Arial" w:hAnsi="Arial" w:cs="Arial"/>
          <w:sz w:val="22"/>
          <w:szCs w:val="22"/>
        </w:rPr>
        <w:footnoteReference w:customMarkFollows="1" w:id="134"/>
        <w:sym w:font="Symbol" w:char="F02A"/>
      </w:r>
      <w:r w:rsidRPr="00201277">
        <w:rPr>
          <w:rFonts w:ascii="Arial" w:hAnsi="Arial" w:cs="Arial"/>
          <w:sz w:val="22"/>
          <w:szCs w:val="22"/>
        </w:rPr>
        <w:t xml:space="preserve">, que servirán para manejar contenedores en </w:t>
      </w:r>
      <w:r w:rsidRPr="00201277">
        <w:rPr>
          <w:rFonts w:ascii="Arial" w:hAnsi="Arial" w:cs="Arial"/>
          <w:sz w:val="22"/>
          <w:szCs w:val="22"/>
        </w:rPr>
        <w:lastRenderedPageBreak/>
        <w:t>el patio de la nueva terminal marítima. De igual forma ya se cuenta con las Cartas Náuticas</w:t>
      </w:r>
      <w:r w:rsidRPr="005D430C">
        <w:rPr>
          <w:rStyle w:val="Refdenotaalpie"/>
          <w:rFonts w:ascii="Arial" w:hAnsi="Arial"/>
          <w:sz w:val="22"/>
          <w:szCs w:val="22"/>
        </w:rPr>
        <w:footnoteReference w:customMarkFollows="1" w:id="135"/>
        <w:sym w:font="Symbol" w:char="F02A"/>
      </w:r>
      <w:r w:rsidRPr="005D430C">
        <w:rPr>
          <w:rStyle w:val="Refdenotaalpie"/>
          <w:rFonts w:ascii="Arial" w:hAnsi="Arial"/>
          <w:sz w:val="22"/>
          <w:szCs w:val="22"/>
        </w:rPr>
        <w:sym w:font="Symbol" w:char="F02A"/>
      </w:r>
      <w:r w:rsidRPr="00201277">
        <w:rPr>
          <w:rFonts w:ascii="Arial" w:hAnsi="Arial" w:cs="Arial"/>
          <w:sz w:val="22"/>
          <w:szCs w:val="22"/>
        </w:rPr>
        <w:t>, instrumentos indispensables que proporcionan la información confiable sobre las profundidades marinas, las regiones navegables de los canales de acceso, las regiones terrestres próximas a éstos, entre otros</w:t>
      </w:r>
      <w:r w:rsidRPr="00201277">
        <w:rPr>
          <w:rStyle w:val="Refdenotaalpie"/>
          <w:rFonts w:ascii="Arial" w:hAnsi="Arial" w:cs="Arial"/>
          <w:sz w:val="22"/>
          <w:szCs w:val="22"/>
        </w:rPr>
        <w:footnoteReference w:id="136"/>
      </w:r>
      <w:r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24" type="#_x0000_t202" style="position:absolute;left:0;text-align:left;margin-left:210.4pt;margin-top:233.65pt;width:31.8pt;height:21pt;z-index:251752448;mso-height-percent:200;mso-height-percent:200;mso-width-relative:margin;mso-height-relative:margin" fillcolor="white [3212]" stroked="f">
            <v:textbox style="mso-next-textbox:#_x0000_s1124;mso-fit-shape-to-text:t">
              <w:txbxContent>
                <w:p w:rsidR="00AC7D7B" w:rsidRDefault="00AC7D7B" w:rsidP="007467DF">
                  <w:r>
                    <w:t>77</w:t>
                  </w:r>
                </w:p>
              </w:txbxContent>
            </v:textbox>
          </v:shape>
        </w:pict>
      </w:r>
      <w:r w:rsidR="00197AA0" w:rsidRPr="00201277">
        <w:rPr>
          <w:rFonts w:ascii="Arial" w:hAnsi="Arial" w:cs="Arial"/>
          <w:sz w:val="22"/>
          <w:szCs w:val="22"/>
        </w:rPr>
        <w:t>En este mismo sentido cabe mencionar esfuerzos realizados por la Comisión Interamericana de Puertos, (CIP). Dentro de estos es de hacer notar el Proyecto Mesoamérica, antes Plan Puebla Panamá,  que inició trabajos con la construcción de una carretera de 100 kilómetros que unirá al Puerto Cutuco, en el Pacífico de El Salvador, con el de Cortés, en el Caribe de Honduras</w:t>
      </w:r>
      <w:r w:rsidR="00197AA0" w:rsidRPr="00201277">
        <w:rPr>
          <w:rStyle w:val="Refdenotaalpie"/>
          <w:rFonts w:ascii="Arial" w:hAnsi="Arial" w:cs="Arial"/>
          <w:sz w:val="22"/>
          <w:szCs w:val="22"/>
        </w:rPr>
        <w:footnoteReference w:id="137"/>
      </w:r>
      <w:r w:rsidR="00197AA0" w:rsidRPr="00201277">
        <w:rPr>
          <w:rFonts w:ascii="Arial" w:hAnsi="Arial" w:cs="Arial"/>
          <w:sz w:val="22"/>
          <w:szCs w:val="22"/>
        </w:rPr>
        <w:t>. Por su parte la AMP El Salvador hizo el lanzamiento oficial de su Manual de Prevención en la Navegación, cuyo objetivo es instruir a los usuarios de diferentes tipos de embarcaciones sobre la forma correcta y segura de navegar en El Salvador</w:t>
      </w:r>
      <w:r w:rsidR="00197AA0" w:rsidRPr="00201277">
        <w:rPr>
          <w:rStyle w:val="Refdenotaalpie"/>
          <w:rFonts w:ascii="Arial" w:hAnsi="Arial" w:cs="Arial"/>
          <w:sz w:val="22"/>
          <w:szCs w:val="22"/>
        </w:rPr>
        <w:footnoteReference w:id="138"/>
      </w:r>
      <w:r w:rsidR="00197AA0"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Por su parte el actual Gerente del Puerto de La Unión, Ing. Milton Lacayo</w:t>
      </w:r>
      <w:r w:rsidRPr="005D430C">
        <w:rPr>
          <w:rStyle w:val="Refdenotaalpie"/>
          <w:rFonts w:ascii="Arial" w:hAnsi="Arial"/>
          <w:sz w:val="22"/>
          <w:szCs w:val="22"/>
        </w:rPr>
        <w:footnoteReference w:customMarkFollows="1" w:id="139"/>
        <w:sym w:font="Symbol" w:char="F02A"/>
      </w:r>
      <w:r w:rsidRPr="00201277">
        <w:rPr>
          <w:rFonts w:ascii="Arial" w:hAnsi="Arial" w:cs="Arial"/>
          <w:sz w:val="22"/>
          <w:szCs w:val="22"/>
        </w:rPr>
        <w:t xml:space="preserve"> ha expresado un optimismo ante dicho proyecto, en una entrevista realizada en fecha 16 de marzo de 2010, expresaba al preguntarle sobre el Puerto de La Unión apuntaba: </w:t>
      </w:r>
      <w:r w:rsidRPr="00201277">
        <w:rPr>
          <w:rFonts w:ascii="Arial" w:hAnsi="Arial" w:cs="Arial"/>
          <w:i/>
          <w:sz w:val="22"/>
          <w:szCs w:val="22"/>
        </w:rPr>
        <w:t xml:space="preserve">En el caso del Puerto de La Unión mi opinión personal, con 38 años de experiencia en el mundo marítimo portuario, es que la primera etapa, lo que ya está construido, debe ser operada por CEPA o concesionar única y exclusivamente los servicios de carga y descarga del buque y manejo de la terminal. De esta manera se mantiene la competencia de las compañías navieras, para que todas vengan a un solo puerto… En 5 años estamos movilizando 1 millón de contenedores. Mi idea es operar el Puerto con gente salvadoreña, gente capacitada que aprende rápido. En Estados Unidos la mano de obra salvadoreña es muy respetada, somos muy trabajadores. Mi visión es traer la tecnología moderna y </w:t>
      </w:r>
      <w:r w:rsidRPr="00201277">
        <w:rPr>
          <w:rFonts w:ascii="Arial" w:hAnsi="Arial" w:cs="Arial"/>
          <w:i/>
          <w:sz w:val="22"/>
          <w:szCs w:val="22"/>
        </w:rPr>
        <w:lastRenderedPageBreak/>
        <w:t>explotar el potencial de la mano de obra salvadoreña y operar el puerto para que sea visto como un ejemplo mundial</w:t>
      </w:r>
      <w:r w:rsidRPr="00201277">
        <w:rPr>
          <w:rStyle w:val="Refdenotaalpie"/>
          <w:rFonts w:ascii="Arial" w:hAnsi="Arial" w:cs="Arial"/>
          <w:i/>
          <w:sz w:val="22"/>
          <w:szCs w:val="22"/>
        </w:rPr>
        <w:footnoteReference w:id="140"/>
      </w:r>
      <w:r w:rsidRPr="00201277">
        <w:rPr>
          <w:rFonts w:ascii="Arial" w:hAnsi="Arial" w:cs="Arial"/>
          <w:i/>
          <w:sz w:val="22"/>
          <w:szCs w:val="22"/>
        </w:rPr>
        <w:t>.</w:t>
      </w:r>
    </w:p>
    <w:p w:rsidR="00197AA0" w:rsidRPr="00201277" w:rsidRDefault="00197AA0" w:rsidP="00232C32">
      <w:pPr>
        <w:spacing w:line="360" w:lineRule="auto"/>
        <w:ind w:right="44" w:firstLine="567"/>
        <w:jc w:val="both"/>
        <w:rPr>
          <w:rFonts w:ascii="Arial" w:hAnsi="Arial" w:cs="Arial"/>
          <w:i/>
          <w:sz w:val="22"/>
          <w:szCs w:val="22"/>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 xml:space="preserve"> De ahí que como apunta el actual Director Ejecutivo de la AMP, Carlos Borja: </w:t>
      </w:r>
      <w:r w:rsidRPr="00201277">
        <w:rPr>
          <w:rFonts w:ascii="Arial" w:hAnsi="Arial" w:cs="Arial"/>
          <w:i/>
          <w:sz w:val="22"/>
          <w:szCs w:val="22"/>
        </w:rPr>
        <w:t>las expectativas dependen de quien va a operar el Puerto de La Unión, si es un operador de primer nivel mundial, las expectativas serian mucho más grandes, y eso trae a su vez otro tipo de negocios alrededor que se van generando, que traen valor agregado y de esta manera se va buscando el desarrollo. Generalmente a nivel mundial los puertos han sido promotores de desarrollo de las grandes ciudades, se esperaría que eso sucediera en el Puerto de La Unión.</w:t>
      </w:r>
    </w:p>
    <w:p w:rsidR="00197AA0" w:rsidRPr="00201277" w:rsidRDefault="00197AA0" w:rsidP="00232C32">
      <w:pPr>
        <w:spacing w:line="360" w:lineRule="auto"/>
        <w:ind w:right="44" w:firstLine="567"/>
        <w:jc w:val="both"/>
        <w:rPr>
          <w:rFonts w:ascii="Arial" w:hAnsi="Arial" w:cs="Arial"/>
          <w:i/>
          <w:sz w:val="22"/>
          <w:szCs w:val="22"/>
        </w:rPr>
      </w:pPr>
    </w:p>
    <w:p w:rsidR="00197AA0" w:rsidRDefault="001D7573" w:rsidP="00232C32">
      <w:pPr>
        <w:spacing w:line="360" w:lineRule="auto"/>
        <w:ind w:right="44" w:firstLine="567"/>
        <w:jc w:val="both"/>
        <w:rPr>
          <w:rFonts w:ascii="Arial" w:hAnsi="Arial" w:cs="Arial"/>
          <w:i/>
          <w:sz w:val="22"/>
          <w:szCs w:val="22"/>
        </w:rPr>
      </w:pPr>
      <w:r w:rsidRPr="001D7573">
        <w:rPr>
          <w:rFonts w:ascii="Arial" w:hAnsi="Arial" w:cs="Arial"/>
          <w:noProof/>
          <w:sz w:val="22"/>
          <w:szCs w:val="22"/>
        </w:rPr>
        <w:pict>
          <v:shape id="_x0000_s1125" type="#_x0000_t202" style="position:absolute;left:0;text-align:left;margin-left:177.2pt;margin-top:164.65pt;width:31.8pt;height:21pt;z-index:251753472;mso-height-percent:200;mso-height-percent:200;mso-width-relative:margin;mso-height-relative:margin" fillcolor="white [3212]" stroked="f">
            <v:textbox style="mso-next-textbox:#_x0000_s1125;mso-fit-shape-to-text:t">
              <w:txbxContent>
                <w:p w:rsidR="00AC7D7B" w:rsidRDefault="00AC7D7B" w:rsidP="007467DF">
                  <w:r>
                    <w:t>78</w:t>
                  </w:r>
                </w:p>
              </w:txbxContent>
            </v:textbox>
          </v:shape>
        </w:pict>
      </w:r>
      <w:r w:rsidR="00197AA0" w:rsidRPr="00201277">
        <w:rPr>
          <w:rFonts w:ascii="Arial" w:hAnsi="Arial" w:cs="Arial"/>
          <w:sz w:val="22"/>
          <w:szCs w:val="22"/>
        </w:rPr>
        <w:t xml:space="preserve">En tanto: </w:t>
      </w:r>
      <w:r w:rsidR="00197AA0" w:rsidRPr="00201277">
        <w:rPr>
          <w:rFonts w:ascii="Arial" w:hAnsi="Arial" w:cs="Arial"/>
          <w:i/>
          <w:sz w:val="22"/>
          <w:szCs w:val="22"/>
        </w:rPr>
        <w:t>el nuevo paradigma para la inversión en infraestructura que se propone… crearía una oportunidad de reordenar la distribución territorial de la riqueza y del desarrollo, mediante el desarrollo de cinturones creados a lo largo de las redes regionales de comunicación, transporte y conexiones de energía. De esta forma, el nuevo paradigma promete, tanto una distribución más justa de la riqueza, como un retorno potencial mayor sobre la inversión en infraestructura, permitiendo un nivel mayor de desarrollo y de sostenibilidad en el largo plazo. Su base en las fuerzas del mercado lo hará responder al entorno cambiante de una economía global y adaptarse a los avances continuos de la tecnología</w:t>
      </w:r>
      <w:r w:rsidR="00197AA0" w:rsidRPr="00201277">
        <w:rPr>
          <w:rStyle w:val="Refdenotaalpie"/>
          <w:rFonts w:ascii="Arial" w:hAnsi="Arial" w:cs="Arial"/>
          <w:i/>
          <w:sz w:val="22"/>
          <w:szCs w:val="22"/>
        </w:rPr>
        <w:footnoteReference w:id="141"/>
      </w:r>
      <w:r w:rsidR="00197AA0" w:rsidRPr="00201277">
        <w:rPr>
          <w:rFonts w:ascii="Arial" w:hAnsi="Arial" w:cs="Arial"/>
          <w:i/>
          <w:sz w:val="22"/>
          <w:szCs w:val="22"/>
        </w:rPr>
        <w:t>.</w:t>
      </w:r>
    </w:p>
    <w:p w:rsidR="00197AA0" w:rsidRPr="00201277" w:rsidRDefault="00197AA0" w:rsidP="00232C32">
      <w:pPr>
        <w:spacing w:line="360" w:lineRule="auto"/>
        <w:ind w:right="44" w:firstLine="567"/>
        <w:jc w:val="both"/>
        <w:rPr>
          <w:rFonts w:ascii="Arial" w:hAnsi="Arial" w:cs="Arial"/>
          <w:i/>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Es así como la obra de infraestructura más grande de los últimos años inició sus operaciones oficialmente el 20 de junio de 2010, el Puerto de La Unión es todo un hecho. Con su apertura, el gobierno espera contribuir a la dinamización de la economía del país y al desarrollo de la zona oriental. Para la construcción de la terminal se invirtieron $187 millones, $50 millones más de lo estimado en el estudio inicial, realizado por  la Cooperación Internacional del Japón (JBIC), en 1999. El puerto empezó a construirse en el 2005. En tanto CEPA contrató 193 empleados para trabajar en el puerto. De éstos, el 90% es originario de la región oriental y fueron capacitados por la institución para ofrecer un mejor servicio en la terminal.</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lastRenderedPageBreak/>
        <w:t xml:space="preserve">Dado que las inversiones en el Puerto de La Unión han sido grandes, se espera que se obtengan beneficios, el mandatario de la República hizo un llamado al sector privado a invertir en la zona del puerto, y dio las garantías necesarias para así convertirla en un polo de desarrollo. En dicha inauguración del puerto se refirió al respecto: </w:t>
      </w:r>
      <w:r w:rsidRPr="00201277">
        <w:rPr>
          <w:rFonts w:ascii="Arial" w:hAnsi="Arial" w:cs="Arial"/>
          <w:i/>
          <w:sz w:val="22"/>
          <w:szCs w:val="22"/>
        </w:rPr>
        <w:t>Hago desde aquí este llamado al sector privado para que se decida a invertir en la zona portuaria y en La Unión, el Gobierno va a hacer su parte, el Gobierno va a poner recursos para mejorar la infraestructura de esta ciudad portuaria, va a dar garantías y va a trabajar incansablemente para garantizar la seguridad pública</w:t>
      </w:r>
      <w:r w:rsidRPr="00201277">
        <w:rPr>
          <w:rStyle w:val="Refdenotaalpie"/>
          <w:rFonts w:ascii="Arial" w:hAnsi="Arial" w:cs="Arial"/>
          <w:i/>
          <w:sz w:val="22"/>
          <w:szCs w:val="22"/>
        </w:rPr>
        <w:footnoteReference w:id="142"/>
      </w:r>
      <w:r w:rsidRPr="00201277">
        <w:rPr>
          <w:rFonts w:ascii="Arial" w:hAnsi="Arial" w:cs="Arial"/>
          <w:i/>
          <w:sz w:val="22"/>
          <w:szCs w:val="22"/>
        </w:rPr>
        <w:t>.</w:t>
      </w:r>
    </w:p>
    <w:p w:rsidR="00197AA0" w:rsidRPr="00201277" w:rsidRDefault="00197AA0" w:rsidP="00232C32">
      <w:pPr>
        <w:spacing w:line="360" w:lineRule="auto"/>
        <w:ind w:right="44" w:firstLine="567"/>
        <w:jc w:val="both"/>
        <w:rPr>
          <w:rFonts w:ascii="Arial" w:hAnsi="Arial" w:cs="Arial"/>
          <w:i/>
          <w:sz w:val="22"/>
          <w:szCs w:val="22"/>
        </w:rPr>
      </w:pPr>
    </w:p>
    <w:p w:rsidR="00197AA0" w:rsidRPr="00201277"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26" type="#_x0000_t202" style="position:absolute;left:0;text-align:left;margin-left:214.75pt;margin-top:163pt;width:31.8pt;height:21pt;z-index:251754496;mso-height-percent:200;mso-height-percent:200;mso-width-relative:margin;mso-height-relative:margin" fillcolor="white [3212]" stroked="f">
            <v:textbox style="mso-next-textbox:#_x0000_s1126;mso-fit-shape-to-text:t">
              <w:txbxContent>
                <w:p w:rsidR="00AC7D7B" w:rsidRDefault="00AC7D7B" w:rsidP="007467DF">
                  <w:r>
                    <w:t>79</w:t>
                  </w:r>
                </w:p>
              </w:txbxContent>
            </v:textbox>
          </v:shape>
        </w:pict>
      </w:r>
      <w:r w:rsidR="00197AA0" w:rsidRPr="00201277">
        <w:rPr>
          <w:rFonts w:ascii="Arial" w:hAnsi="Arial" w:cs="Arial"/>
          <w:sz w:val="22"/>
          <w:szCs w:val="22"/>
        </w:rPr>
        <w:t>Además el actual Presidente de la Republica de El Salvador, Mauricio Funes</w:t>
      </w:r>
      <w:r w:rsidR="00197AA0" w:rsidRPr="00201277">
        <w:rPr>
          <w:rStyle w:val="Refdenotaalpie"/>
          <w:rFonts w:ascii="Arial" w:hAnsi="Arial" w:cs="Arial"/>
          <w:sz w:val="22"/>
          <w:szCs w:val="22"/>
        </w:rPr>
        <w:footnoteReference w:customMarkFollows="1" w:id="143"/>
        <w:sym w:font="Symbol" w:char="F02A"/>
      </w:r>
      <w:r w:rsidR="00197AA0" w:rsidRPr="00201277">
        <w:rPr>
          <w:rFonts w:ascii="Arial" w:hAnsi="Arial" w:cs="Arial"/>
          <w:sz w:val="22"/>
          <w:szCs w:val="22"/>
        </w:rPr>
        <w:t xml:space="preserve"> apunta: </w:t>
      </w:r>
      <w:r w:rsidR="00197AA0" w:rsidRPr="00201277">
        <w:rPr>
          <w:rFonts w:ascii="Arial" w:hAnsi="Arial" w:cs="Arial"/>
          <w:i/>
          <w:sz w:val="22"/>
          <w:szCs w:val="22"/>
        </w:rPr>
        <w:t>Habrá que esperar unos cinco años para que el puerto de La Unión mueva en torno a un millón de contenedores, tres veces más de los que ahora entran al país por mar y por tierra juntos. Y si todo sigue su curso, para ese entonces habrá que anunciar la construcción de la fase II, una ampliación de la estructura actual de este puerto</w:t>
      </w:r>
      <w:r w:rsidR="00197AA0" w:rsidRPr="00201277">
        <w:rPr>
          <w:rStyle w:val="Smbolodenotaalpie"/>
          <w:rFonts w:ascii="Arial" w:hAnsi="Arial" w:cs="Arial"/>
          <w:i/>
          <w:sz w:val="22"/>
          <w:szCs w:val="22"/>
        </w:rPr>
        <w:footnoteReference w:id="144"/>
      </w:r>
      <w:r w:rsidR="00197AA0" w:rsidRPr="00201277">
        <w:rPr>
          <w:rFonts w:ascii="Arial" w:hAnsi="Arial" w:cs="Arial"/>
          <w:sz w:val="22"/>
          <w:szCs w:val="22"/>
        </w:rPr>
        <w:t>. De ser así, en un plazo de tres años se estarían manejando unos 300,000 contenedores, coincidiendo de esta manera con el planteamiento expuesto por el Gerente del Puerto de La Unión.</w:t>
      </w:r>
    </w:p>
    <w:p w:rsidR="00197AA0"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jc w:val="both"/>
        <w:rPr>
          <w:rFonts w:ascii="Arial" w:hAnsi="Arial" w:cs="Arial"/>
          <w:sz w:val="22"/>
          <w:szCs w:val="22"/>
        </w:rPr>
      </w:pPr>
      <w:r w:rsidRPr="00201277">
        <w:rPr>
          <w:rFonts w:ascii="Arial" w:hAnsi="Arial" w:cs="Arial"/>
          <w:b/>
          <w:sz w:val="22"/>
          <w:szCs w:val="22"/>
        </w:rPr>
        <w:t>2.3 Estado actual de la legislación marítima salvadoreña</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La legislación marítima salvadoreña debe de responder a un marco moderno y eficiente en torno a la seguridad de la navegación y a una actividad portuaria competitiva, que esté diseñada para la generación de beneficios; en este sentido cabe mencionar los grandes esfuerzos para convertir al país en un centro logístico y de distribución del comercio marítimo regional e internacional. Este tipo de condiciones toman forma en la medida que se adhieren o se crean  mecanismos que regulen el ámbito de su aplicación para que dichos beneficios sean expresados en el desarrollo portuario salvadoreño.</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i/>
          <w:sz w:val="22"/>
          <w:szCs w:val="22"/>
        </w:rPr>
      </w:pPr>
      <w:r w:rsidRPr="001D7573">
        <w:rPr>
          <w:rFonts w:ascii="Arial" w:hAnsi="Arial" w:cs="Arial"/>
          <w:noProof/>
          <w:sz w:val="22"/>
          <w:szCs w:val="22"/>
        </w:rPr>
        <w:lastRenderedPageBreak/>
        <w:pict>
          <v:shape id="_x0000_s1127" type="#_x0000_t202" style="position:absolute;left:0;text-align:left;margin-left:208.9pt;margin-top:335.4pt;width:31.8pt;height:21pt;z-index:251755520;mso-height-percent:200;mso-height-percent:200;mso-width-relative:margin;mso-height-relative:margin" fillcolor="white [3212]" stroked="f">
            <v:textbox style="mso-next-textbox:#_x0000_s1127;mso-fit-shape-to-text:t">
              <w:txbxContent>
                <w:p w:rsidR="00AC7D7B" w:rsidRDefault="00AC7D7B" w:rsidP="007467DF">
                  <w:r>
                    <w:t>80</w:t>
                  </w:r>
                </w:p>
              </w:txbxContent>
            </v:textbox>
          </v:shape>
        </w:pict>
      </w:r>
      <w:r w:rsidR="00197AA0" w:rsidRPr="00201277">
        <w:rPr>
          <w:rFonts w:ascii="Arial" w:hAnsi="Arial" w:cs="Arial"/>
          <w:sz w:val="22"/>
          <w:szCs w:val="22"/>
        </w:rPr>
        <w:t>En primer lugar el derecho marítimo internacional, en general, ha tenido cambios ya que, debido a los constantes cambios en la navegación ha sido necesario poder regularla para facilitar todos los procesos relacionados con la misma navegación. De igual forma ha contribuido a este proceso, en su momento el incremento de las negociaciones de convenios internacionales a raíz de la creación del Comité Marítimo Internacional</w:t>
      </w:r>
      <w:r w:rsidR="00197AA0" w:rsidRPr="005D430C">
        <w:rPr>
          <w:rStyle w:val="Refdenotaalpie"/>
          <w:rFonts w:ascii="Arial" w:hAnsi="Arial"/>
          <w:sz w:val="22"/>
          <w:szCs w:val="22"/>
        </w:rPr>
        <w:footnoteReference w:customMarkFollows="1" w:id="145"/>
        <w:sym w:font="Symbol" w:char="F02A"/>
      </w:r>
      <w:r w:rsidR="00197AA0" w:rsidRPr="005D430C">
        <w:rPr>
          <w:rStyle w:val="Refdenotaalpie"/>
          <w:rFonts w:ascii="Arial" w:hAnsi="Arial"/>
          <w:sz w:val="22"/>
          <w:szCs w:val="22"/>
        </w:rPr>
        <w:sym w:font="Symbol" w:char="F02A"/>
      </w:r>
      <w:r w:rsidR="00197AA0" w:rsidRPr="00201277">
        <w:rPr>
          <w:rFonts w:ascii="Arial" w:hAnsi="Arial" w:cs="Arial"/>
          <w:sz w:val="22"/>
          <w:szCs w:val="22"/>
        </w:rPr>
        <w:t xml:space="preserve"> creado en 1897, el cual es un organismo no gubernamental, que ha sido responsable de impulsar una serie de convenios internacionales, a manera de ejemplo se puede mencionar los Convenios de Bruselas</w:t>
      </w:r>
      <w:r w:rsidR="00197AA0" w:rsidRPr="005D430C">
        <w:rPr>
          <w:rStyle w:val="Refdenotaalpie"/>
          <w:rFonts w:ascii="Arial" w:hAnsi="Arial"/>
          <w:sz w:val="22"/>
          <w:szCs w:val="22"/>
        </w:rPr>
        <w:footnoteReference w:customMarkFollows="1" w:id="146"/>
        <w:sym w:font="Symbol" w:char="F02A"/>
      </w:r>
      <w:r w:rsidR="00197AA0" w:rsidRPr="00201277">
        <w:rPr>
          <w:rFonts w:ascii="Arial" w:hAnsi="Arial" w:cs="Arial"/>
          <w:sz w:val="22"/>
          <w:szCs w:val="22"/>
        </w:rPr>
        <w:t xml:space="preserve">, que: </w:t>
      </w:r>
      <w:r w:rsidR="00197AA0" w:rsidRPr="00201277">
        <w:rPr>
          <w:rFonts w:ascii="Arial" w:hAnsi="Arial" w:cs="Arial"/>
          <w:i/>
          <w:sz w:val="22"/>
          <w:szCs w:val="22"/>
        </w:rPr>
        <w:t>constituyen el núcleo de la regulación internacional del Derecho privado de la navegación marítima</w:t>
      </w:r>
      <w:r w:rsidR="00197AA0" w:rsidRPr="00201277">
        <w:rPr>
          <w:rStyle w:val="Refdenotaalpie"/>
          <w:rFonts w:ascii="Arial" w:hAnsi="Arial" w:cs="Arial"/>
          <w:i/>
          <w:sz w:val="22"/>
          <w:szCs w:val="22"/>
        </w:rPr>
        <w:footnoteReference w:id="147"/>
      </w:r>
      <w:r w:rsidR="00197AA0" w:rsidRPr="00201277">
        <w:rPr>
          <w:rFonts w:ascii="Arial" w:hAnsi="Arial" w:cs="Arial"/>
          <w:i/>
          <w:sz w:val="22"/>
          <w:szCs w:val="22"/>
        </w:rPr>
        <w:t>.</w:t>
      </w:r>
    </w:p>
    <w:p w:rsidR="00197AA0" w:rsidRPr="00201277" w:rsidRDefault="00197AA0" w:rsidP="00232C32">
      <w:pPr>
        <w:spacing w:line="360" w:lineRule="auto"/>
        <w:ind w:right="44" w:firstLine="567"/>
        <w:jc w:val="both"/>
        <w:rPr>
          <w:rFonts w:ascii="Arial" w:hAnsi="Arial" w:cs="Arial"/>
          <w:i/>
          <w:sz w:val="22"/>
          <w:szCs w:val="22"/>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En este mismo ámbito, es importante señalar el papel que ha jugado la Organización Marítima Internacional, OMI</w:t>
      </w:r>
      <w:r w:rsidRPr="005D430C">
        <w:rPr>
          <w:rStyle w:val="Refdenotaalpie"/>
          <w:rFonts w:ascii="Arial" w:hAnsi="Arial"/>
          <w:sz w:val="22"/>
          <w:szCs w:val="22"/>
        </w:rPr>
        <w:footnoteReference w:customMarkFollows="1" w:id="148"/>
        <w:sym w:font="Symbol" w:char="F02A"/>
      </w:r>
      <w:r w:rsidRPr="005D430C">
        <w:rPr>
          <w:rStyle w:val="Refdenotaalpie"/>
          <w:rFonts w:ascii="Arial" w:hAnsi="Arial"/>
          <w:sz w:val="22"/>
          <w:szCs w:val="22"/>
        </w:rPr>
        <w:sym w:font="Symbol" w:char="F02A"/>
      </w:r>
      <w:r w:rsidRPr="00201277">
        <w:rPr>
          <w:rFonts w:ascii="Arial" w:hAnsi="Arial" w:cs="Arial"/>
          <w:sz w:val="22"/>
          <w:szCs w:val="22"/>
        </w:rPr>
        <w:t xml:space="preserve"> cuyo propósito es el de: </w:t>
      </w:r>
      <w:r w:rsidRPr="00201277">
        <w:rPr>
          <w:rFonts w:ascii="Arial" w:hAnsi="Arial" w:cs="Arial"/>
          <w:i/>
          <w:sz w:val="22"/>
          <w:szCs w:val="22"/>
        </w:rPr>
        <w:t>proporcionar mecanismos de cooperación entre los gobiernos en el ámbito de la regulación y prácticas gubernamentales relativas a cuestiones técnicas de toda índole concernientes a la navegación en el comercio internacional, para alentar y facilitar la adopción general de normas más estrictas posibles en materia de seguridad marítima, la eficiencia de la navegación y la prevención y el control de la contaminación marina por los buques</w:t>
      </w:r>
      <w:r w:rsidRPr="00201277">
        <w:rPr>
          <w:rStyle w:val="Refdenotaalpie"/>
          <w:rFonts w:ascii="Arial" w:hAnsi="Arial" w:cs="Arial"/>
          <w:i/>
          <w:sz w:val="22"/>
          <w:szCs w:val="22"/>
        </w:rPr>
        <w:footnoteReference w:id="149"/>
      </w:r>
      <w:r w:rsidRPr="00201277">
        <w:rPr>
          <w:rFonts w:ascii="Arial" w:hAnsi="Arial" w:cs="Arial"/>
          <w:i/>
          <w:sz w:val="22"/>
          <w:szCs w:val="22"/>
        </w:rPr>
        <w:t>.</w:t>
      </w:r>
    </w:p>
    <w:p w:rsidR="00197AA0" w:rsidRPr="00201277" w:rsidRDefault="00197AA0" w:rsidP="00232C32">
      <w:pPr>
        <w:spacing w:line="360" w:lineRule="auto"/>
        <w:ind w:right="44" w:firstLine="567"/>
        <w:jc w:val="both"/>
        <w:rPr>
          <w:rFonts w:ascii="Arial" w:hAnsi="Arial" w:cs="Arial"/>
          <w:sz w:val="22"/>
          <w:szCs w:val="22"/>
          <w:lang w:val="es-MX"/>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lang w:val="es-MX"/>
        </w:rPr>
        <w:t xml:space="preserve">De igual forma la </w:t>
      </w:r>
      <w:r w:rsidRPr="00201277">
        <w:rPr>
          <w:rFonts w:ascii="Arial" w:hAnsi="Arial" w:cs="Arial"/>
          <w:sz w:val="22"/>
          <w:szCs w:val="22"/>
        </w:rPr>
        <w:t>OMI está facultada para tratar asuntos jurídicos administrativos relacionados con estos fines. La primera tarea de la OMI fue la de adoptar una nueva versión de la Convención Internacional para la Seguridad de la Vida Humana en el Mar (SOLAS), el más importante de todos los tratados relativos a la seguridad</w:t>
      </w:r>
      <w:r w:rsidRPr="00201277">
        <w:rPr>
          <w:rFonts w:ascii="Arial" w:hAnsi="Arial" w:cs="Arial"/>
          <w:sz w:val="22"/>
          <w:szCs w:val="22"/>
          <w:lang w:val="es-MX"/>
        </w:rPr>
        <w:t xml:space="preserve">. </w:t>
      </w:r>
      <w:r w:rsidRPr="00201277">
        <w:rPr>
          <w:rFonts w:ascii="Arial" w:hAnsi="Arial" w:cs="Arial"/>
          <w:sz w:val="22"/>
          <w:szCs w:val="22"/>
        </w:rPr>
        <w:t xml:space="preserve">Esto se logró en 1960 y posteriormente la OMI volvió su atención a cuestiones tales como la facilitación </w:t>
      </w:r>
      <w:r w:rsidRPr="00201277">
        <w:rPr>
          <w:rFonts w:ascii="Arial" w:hAnsi="Arial" w:cs="Arial"/>
          <w:sz w:val="22"/>
          <w:szCs w:val="22"/>
        </w:rPr>
        <w:lastRenderedPageBreak/>
        <w:t>del tráfico marítimo internacional, las líneas de carga y el transporte de mercancías peligrosas, entre otras temáticas. En este sentido es importante destacar el papel del Law International Association,  algunos ejemplos de las disposiciones internacionales que han sido el resultado de las reuniones sostenidas en estas organizaciones internacionales, son: las Reglas de La Haya en materia de transporte marítimo de 1921, los Convenios de Bruselas sobre Abordaje y Asistencia y Salvamento Marítimo de 1910, el Convenio sobre Limitación de Responsabilidad de los Propietarios de Buques de 1924, el Convenio sobre Transporte Marítimo de Pasajeros de 1961 y el Convenio sobre Equipajes de 1967.</w:t>
      </w:r>
    </w:p>
    <w:p w:rsidR="00197AA0" w:rsidRPr="00201277"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28" type="#_x0000_t202" style="position:absolute;left:0;text-align:left;margin-left:211.75pt;margin-top:221.3pt;width:31.8pt;height:21pt;z-index:251756544;mso-height-percent:200;mso-height-percent:200;mso-width-relative:margin;mso-height-relative:margin" fillcolor="white [3212]" stroked="f">
            <v:textbox style="mso-next-textbox:#_x0000_s1128;mso-fit-shape-to-text:t">
              <w:txbxContent>
                <w:p w:rsidR="00AC7D7B" w:rsidRDefault="00AC7D7B" w:rsidP="007467DF">
                  <w:r>
                    <w:t>81</w:t>
                  </w:r>
                </w:p>
              </w:txbxContent>
            </v:textbox>
          </v:shape>
        </w:pict>
      </w: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Frente a todo este marco internacional anteriormente planteado, las normas internacionales se presentan como una fuente del derecho marítimo, acogidas de diversos convenios y tratados internacionales, resultado de consensos bilaterales o multilaterales entre los países partes. Sin embargo en importante destacar que, estos instrumentos de carácter internacional no son de aplicación automática, deben ser incorporados al sistema jurídico nacional a través del procedimiento constitucional previamente establecido por cada uno de los Estados según se estime conveniente.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Es así como el derecho marítimo internacional ha evolucionado hacia un proceso de unificación internacional constante y progresivamente. Esto puede verse sustentado por el grado de uniformidad que se presenta en algunas áreas como las relativas a la seguridad de los buques y de la navegación, a la prevención de la contaminación marina, a las relaciones de trabajo marítimo y al contrato de transporte marítimo internacional de mercancías, entre otras. En cambio, se puede observar la poca uniformidad de normas referentes a los privilegios e hipotecas marítimas, y a las condiciones de inscripción de buques</w:t>
      </w:r>
      <w:r w:rsidRPr="00201277">
        <w:rPr>
          <w:rStyle w:val="Refdenotaalpie"/>
          <w:rFonts w:ascii="Arial" w:hAnsi="Arial" w:cs="Arial"/>
          <w:sz w:val="22"/>
          <w:szCs w:val="22"/>
        </w:rPr>
        <w:footnoteReference w:id="150"/>
      </w:r>
      <w:r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29" type="#_x0000_t202" style="position:absolute;left:0;text-align:left;margin-left:177.2pt;margin-top:354.4pt;width:31.8pt;height:21pt;z-index:251757568;mso-height-percent:200;mso-height-percent:200;mso-width-relative:margin;mso-height-relative:margin" fillcolor="white [3212]" stroked="f">
            <v:textbox style="mso-next-textbox:#_x0000_s1129;mso-fit-shape-to-text:t">
              <w:txbxContent>
                <w:p w:rsidR="00AC7D7B" w:rsidRDefault="00AC7D7B" w:rsidP="007467DF">
                  <w:r>
                    <w:t>82</w:t>
                  </w:r>
                </w:p>
              </w:txbxContent>
            </v:textbox>
          </v:shape>
        </w:pict>
      </w:r>
      <w:r w:rsidR="00197AA0" w:rsidRPr="00201277">
        <w:rPr>
          <w:rFonts w:ascii="Arial" w:hAnsi="Arial" w:cs="Arial"/>
          <w:sz w:val="22"/>
          <w:szCs w:val="22"/>
        </w:rPr>
        <w:t xml:space="preserve">Ante toda esta dinámica internacional, la situación de la legislación marítima de El Salvador debe estar enmarcada en una jerarquía; en primer lugar la jerarquía de las normas que integran el ordenamiento jurídico positivo, las normas fundamentales o constitucionales, las normas secundarias y las normas reglamentarias. Las primeras, las normas fundamentales o constitucionales para el caso salvadoreño se encuentran amparadas por la Constitución de la República, en el Título tres: El Estado, su forma de </w:t>
      </w:r>
      <w:r w:rsidR="00197AA0" w:rsidRPr="00201277">
        <w:rPr>
          <w:rFonts w:ascii="Arial" w:hAnsi="Arial" w:cs="Arial"/>
          <w:sz w:val="22"/>
          <w:szCs w:val="22"/>
        </w:rPr>
        <w:lastRenderedPageBreak/>
        <w:t>Gobierno y Sistema Político; específicamente en el Artículo 84, en este se establece, el territorio sobre el cual El Salvador ejerce jurisdicción y soberanía, y dentro del mismo se señala el mar, dentro del cual queda comprendido el subsuelo y el lecho marino hasta una distancia de 200 millas marinas contadas desde la línea más baja marea, todo de conformidad a las regulaciones del derecho internacional. El inciso tercero del Art. 84 establece como espacio donde ejerce jurisdicción y soberanía El Salvador las aguas territoriales y en comunidad del Golfo de Fonseca, bahía histórica con caracteres de mar cerrado, cuyo régimen está determinado por el derecho internacional y por la sentencia de la Corte de Justicia Centroamericana, pronunciada el 9 de marzo de 1917.</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En lo respectivo a Tratados Internacionales, El Salvador ha adoptado una serie de tratados, entre ellos:</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numPr>
          <w:ilvl w:val="0"/>
          <w:numId w:val="22"/>
        </w:numPr>
        <w:suppressAutoHyphens/>
        <w:spacing w:line="360" w:lineRule="auto"/>
        <w:ind w:right="44"/>
        <w:jc w:val="both"/>
        <w:rPr>
          <w:rFonts w:ascii="Arial" w:hAnsi="Arial" w:cs="Arial"/>
          <w:sz w:val="22"/>
          <w:szCs w:val="22"/>
        </w:rPr>
      </w:pPr>
      <w:r w:rsidRPr="00201277">
        <w:rPr>
          <w:rFonts w:ascii="Arial" w:hAnsi="Arial" w:cs="Arial"/>
          <w:sz w:val="22"/>
          <w:szCs w:val="22"/>
        </w:rPr>
        <w:t>Convención relativa a la Organización Consultiva Marítima Intergubernamental. (D.O. No.223, Tomo 269,26 de Noviembre de 1980).</w:t>
      </w:r>
    </w:p>
    <w:p w:rsidR="00197AA0" w:rsidRPr="00201277" w:rsidRDefault="00197AA0" w:rsidP="00232C32">
      <w:pPr>
        <w:numPr>
          <w:ilvl w:val="0"/>
          <w:numId w:val="22"/>
        </w:numPr>
        <w:suppressAutoHyphens/>
        <w:spacing w:line="360" w:lineRule="auto"/>
        <w:ind w:right="44"/>
        <w:jc w:val="both"/>
        <w:rPr>
          <w:rFonts w:ascii="Arial" w:hAnsi="Arial" w:cs="Arial"/>
          <w:sz w:val="22"/>
          <w:szCs w:val="22"/>
        </w:rPr>
      </w:pPr>
      <w:r w:rsidRPr="00201277">
        <w:rPr>
          <w:rFonts w:ascii="Arial" w:hAnsi="Arial" w:cs="Arial"/>
          <w:sz w:val="22"/>
          <w:szCs w:val="22"/>
        </w:rPr>
        <w:t>Convenio Internacional sobre Cooperación, Preparación y Lucha Contra la Contaminación por Hidrocarburos (D.O. No. 28, Tomo 334, 12 de febrero de 1997).</w:t>
      </w:r>
    </w:p>
    <w:p w:rsidR="00197AA0" w:rsidRPr="00201277" w:rsidRDefault="00197AA0" w:rsidP="00232C32">
      <w:pPr>
        <w:numPr>
          <w:ilvl w:val="0"/>
          <w:numId w:val="22"/>
        </w:numPr>
        <w:suppressAutoHyphens/>
        <w:spacing w:line="360" w:lineRule="auto"/>
        <w:ind w:right="44"/>
        <w:jc w:val="both"/>
        <w:rPr>
          <w:rFonts w:ascii="Arial" w:hAnsi="Arial" w:cs="Arial"/>
          <w:sz w:val="22"/>
          <w:szCs w:val="22"/>
        </w:rPr>
      </w:pPr>
      <w:r w:rsidRPr="00201277">
        <w:rPr>
          <w:rFonts w:ascii="Arial" w:hAnsi="Arial" w:cs="Arial"/>
          <w:sz w:val="22"/>
          <w:szCs w:val="22"/>
        </w:rPr>
        <w:t>Acta Final de la Conferencia Internacional sobre Arqueo de Buques y Convenio Internacional sobre Arqueo de Buques (D.O. No. 178, Tomo 336, 26 de septiembre de 1997).</w:t>
      </w:r>
    </w:p>
    <w:p w:rsidR="00197AA0" w:rsidRPr="00201277" w:rsidRDefault="00197AA0" w:rsidP="00232C32">
      <w:pPr>
        <w:numPr>
          <w:ilvl w:val="0"/>
          <w:numId w:val="22"/>
        </w:numPr>
        <w:suppressAutoHyphens/>
        <w:spacing w:line="360" w:lineRule="auto"/>
        <w:ind w:right="44"/>
        <w:jc w:val="both"/>
        <w:rPr>
          <w:rFonts w:ascii="Arial" w:hAnsi="Arial" w:cs="Arial"/>
          <w:sz w:val="22"/>
          <w:szCs w:val="22"/>
        </w:rPr>
      </w:pPr>
      <w:r w:rsidRPr="00201277">
        <w:rPr>
          <w:rFonts w:ascii="Arial" w:hAnsi="Arial" w:cs="Arial"/>
          <w:sz w:val="22"/>
          <w:szCs w:val="22"/>
        </w:rPr>
        <w:t>Convenio sobre el Reglamento Internacional para Prevenir los Abordajes, 1972 y sus enmiendas de 1981, 1987, 1989 y 1993 (D.O. No. 203, Tomo 337, 31 de Octubre de 1997).</w:t>
      </w:r>
    </w:p>
    <w:p w:rsidR="00197AA0" w:rsidRPr="00201277" w:rsidRDefault="00197AA0" w:rsidP="00232C32">
      <w:pPr>
        <w:numPr>
          <w:ilvl w:val="0"/>
          <w:numId w:val="22"/>
        </w:numPr>
        <w:suppressAutoHyphens/>
        <w:spacing w:line="360" w:lineRule="auto"/>
        <w:ind w:right="44"/>
        <w:jc w:val="both"/>
        <w:rPr>
          <w:rFonts w:ascii="Arial" w:hAnsi="Arial" w:cs="Arial"/>
          <w:sz w:val="22"/>
          <w:szCs w:val="22"/>
        </w:rPr>
      </w:pPr>
      <w:r w:rsidRPr="00201277">
        <w:rPr>
          <w:rFonts w:ascii="Arial" w:hAnsi="Arial" w:cs="Arial"/>
          <w:sz w:val="22"/>
          <w:szCs w:val="22"/>
        </w:rPr>
        <w:t>Protocolo para la Represión de Actos Ilícitos contra la Seguridad de las Plataformas Fijas Emplazadas en la Plataforma Continental (D.O. No 206, Tomo No. 349, 3 de noviembre de 2000).</w:t>
      </w:r>
    </w:p>
    <w:p w:rsidR="00197AA0" w:rsidRPr="00201277" w:rsidRDefault="00197AA0" w:rsidP="00232C32">
      <w:pPr>
        <w:numPr>
          <w:ilvl w:val="0"/>
          <w:numId w:val="22"/>
        </w:numPr>
        <w:suppressAutoHyphens/>
        <w:spacing w:line="360" w:lineRule="auto"/>
        <w:ind w:right="44"/>
        <w:jc w:val="both"/>
        <w:rPr>
          <w:rFonts w:ascii="Arial" w:hAnsi="Arial" w:cs="Arial"/>
          <w:sz w:val="22"/>
          <w:szCs w:val="22"/>
        </w:rPr>
      </w:pPr>
      <w:r w:rsidRPr="00201277">
        <w:rPr>
          <w:rFonts w:ascii="Arial" w:hAnsi="Arial" w:cs="Arial"/>
          <w:sz w:val="22"/>
          <w:szCs w:val="22"/>
        </w:rPr>
        <w:t>Convenio para la Represión de Actos Ilícitos contra la Seguridad de la Navegación Marítima (D.O. No. 207, Tomo No. 349, 6 de noviembre de 2000).</w:t>
      </w:r>
    </w:p>
    <w:p w:rsidR="00197AA0" w:rsidRPr="00201277" w:rsidRDefault="00197AA0" w:rsidP="00232C32">
      <w:pPr>
        <w:numPr>
          <w:ilvl w:val="0"/>
          <w:numId w:val="22"/>
        </w:numPr>
        <w:suppressAutoHyphens/>
        <w:spacing w:line="360" w:lineRule="auto"/>
        <w:ind w:right="44"/>
        <w:jc w:val="both"/>
        <w:rPr>
          <w:rFonts w:ascii="Arial" w:hAnsi="Arial" w:cs="Arial"/>
          <w:sz w:val="22"/>
          <w:szCs w:val="22"/>
        </w:rPr>
      </w:pPr>
      <w:r w:rsidRPr="00201277">
        <w:rPr>
          <w:rFonts w:ascii="Arial" w:hAnsi="Arial" w:cs="Arial"/>
          <w:sz w:val="22"/>
          <w:szCs w:val="22"/>
        </w:rPr>
        <w:t>Convenio Internacional sobre Responsabilidad Civil por daños Causados por la Contaminación de las Aguas del Mar por Hidrocarburos (D.O. No. 169, Tomo No. 352, 10 de septiembre de 2001).</w:t>
      </w:r>
    </w:p>
    <w:p w:rsidR="00197AA0" w:rsidRPr="00201277" w:rsidRDefault="00197AA0" w:rsidP="00232C32">
      <w:pPr>
        <w:numPr>
          <w:ilvl w:val="0"/>
          <w:numId w:val="22"/>
        </w:numPr>
        <w:suppressAutoHyphens/>
        <w:spacing w:line="360" w:lineRule="auto"/>
        <w:ind w:right="44"/>
        <w:jc w:val="both"/>
        <w:rPr>
          <w:rFonts w:ascii="Arial" w:hAnsi="Arial" w:cs="Arial"/>
          <w:sz w:val="22"/>
          <w:szCs w:val="22"/>
        </w:rPr>
      </w:pPr>
      <w:r w:rsidRPr="00201277">
        <w:rPr>
          <w:rFonts w:ascii="Arial" w:hAnsi="Arial" w:cs="Arial"/>
          <w:sz w:val="22"/>
          <w:szCs w:val="22"/>
        </w:rPr>
        <w:lastRenderedPageBreak/>
        <w:t>Protocolo de 1976 del Convenio Internacional sobre Responsabilidad Civil por Daños Causados por la Contaminación de las Aguas del Mar por Hidrocarburos de 1969 (D.O. No. 169, Tomo No. 352, 10 de septiembre de 2001).</w:t>
      </w:r>
    </w:p>
    <w:p w:rsidR="00197AA0" w:rsidRPr="00201277" w:rsidRDefault="00197AA0" w:rsidP="00232C32">
      <w:pPr>
        <w:numPr>
          <w:ilvl w:val="0"/>
          <w:numId w:val="22"/>
        </w:numPr>
        <w:suppressAutoHyphens/>
        <w:spacing w:line="360" w:lineRule="auto"/>
        <w:ind w:right="44"/>
        <w:jc w:val="both"/>
        <w:rPr>
          <w:rFonts w:ascii="Arial" w:hAnsi="Arial" w:cs="Arial"/>
          <w:sz w:val="22"/>
          <w:szCs w:val="22"/>
        </w:rPr>
      </w:pPr>
      <w:r w:rsidRPr="00201277">
        <w:rPr>
          <w:rFonts w:ascii="Arial" w:hAnsi="Arial" w:cs="Arial"/>
          <w:sz w:val="22"/>
          <w:szCs w:val="22"/>
        </w:rPr>
        <w:t>Protocolo de 1992, que enmienda el Convenio Internacional sobre Responsabilidad Civil por Daños causados por la Contaminación de las aguas del Mar por Hidrocarburos, (D.O. No. 169, Tomo No. 352, de fecha 10 de septiembre de 2001).</w:t>
      </w:r>
    </w:p>
    <w:p w:rsidR="00197AA0" w:rsidRPr="00201277" w:rsidRDefault="00197AA0" w:rsidP="00232C32">
      <w:pPr>
        <w:spacing w:line="360" w:lineRule="auto"/>
        <w:ind w:left="720" w:right="44"/>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30" type="#_x0000_t202" style="position:absolute;left:0;text-align:left;margin-left:220.9pt;margin-top:81.85pt;width:31.8pt;height:21pt;z-index:251758592;mso-height-percent:200;mso-height-percent:200;mso-width-relative:margin;mso-height-relative:margin" fillcolor="white [3212]" stroked="f">
            <v:textbox style="mso-next-textbox:#_x0000_s1130;mso-fit-shape-to-text:t">
              <w:txbxContent>
                <w:p w:rsidR="00AC7D7B" w:rsidRDefault="00AC7D7B" w:rsidP="007467DF">
                  <w:r>
                    <w:t>83</w:t>
                  </w:r>
                </w:p>
              </w:txbxContent>
            </v:textbox>
          </v:shape>
        </w:pict>
      </w:r>
      <w:r w:rsidR="00197AA0" w:rsidRPr="00201277">
        <w:rPr>
          <w:rFonts w:ascii="Arial" w:hAnsi="Arial" w:cs="Arial"/>
          <w:sz w:val="22"/>
          <w:szCs w:val="22"/>
        </w:rPr>
        <w:t>En lo concerniente a las normas marítimas secundarias de carácter general, El Salvador ha dado un paso significativo, orientado hacia mayor competitividad del país, debido a que en el año 2002 se promulgó la Ley General Marítimo Portuaria</w:t>
      </w:r>
      <w:r w:rsidR="00197AA0" w:rsidRPr="00201277">
        <w:rPr>
          <w:rStyle w:val="Refdenotaalpie"/>
          <w:rFonts w:ascii="Arial" w:hAnsi="Arial" w:cs="Arial"/>
          <w:sz w:val="22"/>
          <w:szCs w:val="22"/>
        </w:rPr>
        <w:footnoteReference w:id="151"/>
      </w:r>
      <w:r w:rsidR="00197AA0" w:rsidRPr="00201277">
        <w:rPr>
          <w:rFonts w:ascii="Arial" w:hAnsi="Arial" w:cs="Arial"/>
          <w:sz w:val="22"/>
          <w:szCs w:val="22"/>
        </w:rPr>
        <w:t>, la cual fortaleció en gran medida el proyecto contemplado en el Plan de Nación sobre Puertos y Navegación Segura. Esta ley surge como una ley principal en la cual se establecen las disposiciones y políticas generales del servicio de la navegación marina y de los servicios de puertos nacionales para su explotación efectiva.</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Históricamente la legislación marítima salvadoreña se remonta al año 1933, y fue modificada en 1994, surgiendo así la Dirección General de Transporte Marítimo, con competencias en los aspectos de seguridad marítima, prevención de la contaminación y ordenación del transporte marítimo. En el marco de modernización del Estado, en especial en el subsector marítimo portuario, se continuaron las revisiones de la normativa jurídica, administrativa e institucional que regulaba dicho sector, finalizando con la aprobación de la Ley General Marítimo Portuaria, mencionada en el párrafo anterior. Manifiesta en su considerando y bajo decreto legislativo de la Asamblea Legislativa de la República de El Salvador número 994, que dicho marco normativo se adopta con el propósito, entre otras cosas, contar con un ordenamiento jurídico moderno e integrado que responda a las exigencias del derecho marítimo internacional, con apropiadas disposiciones en concepto de seguridad de la navegación marítima y de la seguridad operacional portuaria, así como de una normativa portuaria efectiva en materia de desarrollo, administración, mantenimiento, conservación y explotación de la infraestructura portuaria, comprendiendo el respectivo régimen de infracciones y sanciones.</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A raíz de dicha normativa se crea la Autoridad Marítima Portuaria AMP, como una institución autónoma, de servicio público, sin fines de lucro, responsable de ejercer la regulación técnica y económica de las actividades marítimas y portuarias. En el Articulo 1 de la Ley General Marítimo Portuaria se establece la competencia de dicha instancia:</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D7573" w:rsidP="00232C32">
      <w:pPr>
        <w:spacing w:line="360" w:lineRule="auto"/>
        <w:ind w:left="708" w:right="44"/>
        <w:jc w:val="both"/>
        <w:rPr>
          <w:rFonts w:ascii="Arial" w:hAnsi="Arial" w:cs="Arial"/>
          <w:sz w:val="22"/>
          <w:szCs w:val="22"/>
        </w:rPr>
      </w:pPr>
      <w:r w:rsidRPr="001D7573">
        <w:rPr>
          <w:rFonts w:ascii="Arial" w:hAnsi="Arial" w:cs="Arial"/>
          <w:i/>
          <w:noProof/>
          <w:sz w:val="22"/>
          <w:szCs w:val="22"/>
        </w:rPr>
        <w:pict>
          <v:shape id="_x0000_s1131" type="#_x0000_t202" style="position:absolute;left:0;text-align:left;margin-left:208.9pt;margin-top:145.65pt;width:31.8pt;height:21pt;z-index:251759616;mso-height-percent:200;mso-height-percent:200;mso-width-relative:margin;mso-height-relative:margin" fillcolor="white [3212]" stroked="f">
            <v:textbox style="mso-next-textbox:#_x0000_s1131;mso-fit-shape-to-text:t">
              <w:txbxContent>
                <w:p w:rsidR="00AC7D7B" w:rsidRDefault="00AC7D7B" w:rsidP="007467DF">
                  <w:r>
                    <w:t>84</w:t>
                  </w:r>
                </w:p>
              </w:txbxContent>
            </v:textbox>
          </v:shape>
        </w:pict>
      </w:r>
      <w:r w:rsidR="00197AA0" w:rsidRPr="00201277">
        <w:rPr>
          <w:rFonts w:ascii="Arial" w:hAnsi="Arial" w:cs="Arial"/>
          <w:i/>
          <w:sz w:val="22"/>
          <w:szCs w:val="22"/>
        </w:rPr>
        <w:t>La presente Ley tiene por objeto regular todas las actividades relacionadas a la promoción, desarrollo y defensa de los intereses marítimos, al control y vigilancia de los asuntos relativos al mar y al ejercicio de la soberanía y jurisdicción en el territorio marítimo y aguas continentales de El Salvador, así como de regular el uso de los espacios marítimos nacionales, incluyendo los acuáticos continentales; respecto a la presentación y desarrollo de los servicios de transporte acuático; igualmente establece las regulaciones relacionadas con la construcción, rehabilitación, administración, operación y mantenimiento de los puertos nacionales en general.</w:t>
      </w:r>
      <w:r w:rsidR="00197AA0" w:rsidRPr="00201277">
        <w:rPr>
          <w:rFonts w:ascii="Arial" w:hAnsi="Arial" w:cs="Arial"/>
          <w:sz w:val="22"/>
          <w:szCs w:val="22"/>
        </w:rPr>
        <w:t xml:space="preserve">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Según se extrae de dicho artículo, y como se confirma en el subsecuente Artículo 2 de esa misma ley, las facultades de la Autoridad Marítima Portuaria son esencialmente las de regular, fiscalizar, supervisar y controlar la actividad marítima y la actividad portuaria. Dichas facultades obligan al Estado a asumir grandes desafíos a fin de garantizar que la AMP cuente con la capacidad idónea para verificar las condiciones óptimas de navegación, así como la observancia en el cumplimiento de las normas mínimas de la tripulación y demás factores de seguridad marítima.</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 xml:space="preserve">Al respecto el Director de la AMP, Ing. Freddy Villalta en una entrevista realizada en fecha 11 de junio de 2010 apunta: </w:t>
      </w:r>
      <w:r w:rsidRPr="00201277">
        <w:rPr>
          <w:rFonts w:ascii="Arial" w:hAnsi="Arial" w:cs="Arial"/>
          <w:i/>
          <w:sz w:val="22"/>
          <w:szCs w:val="22"/>
        </w:rPr>
        <w:t xml:space="preserve">la Autoridad Marítimo Portuaria se funda por decreto de ley de 1992 y empieza a operar en 1993… la  creación del ente Regulador (que eso es la Autoridad Marítimo Portuaria) es para desligar funciones de operador que son de CEPA, a regulador que son de la Autoridad, eso de 17 años de funcionamiento ha costado que la gente entienda que primero hay diferencias, y segundo que uno regula al otro. La Autoridad la crea el Gobierno de El Salvador para hacer transparente la función de regulación, es decir que el regulador no sea el mismo regulado el que se regula y entre otras funciones está la de la seguridad de la vida en el mar, en puertos y los convenios internacionales, dentro de esos convenios internacionales hay unos que tratan </w:t>
      </w:r>
      <w:r w:rsidRPr="00201277">
        <w:rPr>
          <w:rFonts w:ascii="Arial" w:hAnsi="Arial" w:cs="Arial"/>
          <w:i/>
          <w:sz w:val="22"/>
          <w:szCs w:val="22"/>
        </w:rPr>
        <w:lastRenderedPageBreak/>
        <w:t>el medio ambiente. Los convenios los ratifica El Salvador, es el Ministerio de Relaciones Exteriores el encargado de esa función para con la Asamblea Legislativa, y eso toma mucho tiempo. La Autoridad Marítimo Portuaria lo que hace es impulsar, promover, acelerar, sin embargo la reglamentación de la Autoridad Marítimo Portuaria no espera la aprobación de convenios sino que dentro de sus reglamentos toma los elementos de la regulación internacional, tal es el caso del Código PBIP que trata de la seguridad de Buques y las instalaciones portuarias, el cual es parte de un  convenio no está aprobado o ratificado pero en los reglamentos nuestros si está exactamente tal código porque es para la seguridad.</w:t>
      </w:r>
    </w:p>
    <w:p w:rsidR="00197AA0" w:rsidRPr="00201277" w:rsidRDefault="001D7573" w:rsidP="00232C32">
      <w:pPr>
        <w:spacing w:line="360" w:lineRule="auto"/>
        <w:ind w:right="44" w:firstLine="567"/>
        <w:jc w:val="both"/>
        <w:rPr>
          <w:rFonts w:ascii="Arial" w:hAnsi="Arial" w:cs="Arial"/>
          <w:i/>
          <w:sz w:val="22"/>
          <w:szCs w:val="22"/>
        </w:rPr>
      </w:pPr>
      <w:r>
        <w:rPr>
          <w:rFonts w:ascii="Arial" w:hAnsi="Arial" w:cs="Arial"/>
          <w:i/>
          <w:noProof/>
          <w:sz w:val="22"/>
          <w:szCs w:val="22"/>
        </w:rPr>
        <w:pict>
          <v:shape id="_x0000_s1132" type="#_x0000_t202" style="position:absolute;left:0;text-align:left;margin-left:210.85pt;margin-top:33.5pt;width:31.8pt;height:21pt;z-index:251760640;mso-height-percent:200;mso-height-percent:200;mso-width-relative:margin;mso-height-relative:margin" fillcolor="white [3212]" stroked="f">
            <v:textbox style="mso-next-textbox:#_x0000_s1132;mso-fit-shape-to-text:t">
              <w:txbxContent>
                <w:p w:rsidR="00AC7D7B" w:rsidRDefault="00AC7D7B" w:rsidP="007467DF">
                  <w:r>
                    <w:t>85</w:t>
                  </w:r>
                </w:p>
              </w:txbxContent>
            </v:textbox>
          </v:shape>
        </w:pict>
      </w: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i/>
          <w:sz w:val="22"/>
          <w:szCs w:val="22"/>
        </w:rPr>
        <w:t xml:space="preserve"> </w:t>
      </w:r>
      <w:r w:rsidRPr="00201277">
        <w:rPr>
          <w:rFonts w:ascii="Arial" w:hAnsi="Arial" w:cs="Arial"/>
          <w:sz w:val="22"/>
          <w:szCs w:val="22"/>
        </w:rPr>
        <w:t xml:space="preserve">En lo que compete a la normativa reglamentaria nacional se pueden encontrar los Reglamentos Técnicos y Económicos del Subsector Marítimo Portuario:   </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numPr>
          <w:ilvl w:val="0"/>
          <w:numId w:val="23"/>
        </w:numPr>
        <w:suppressAutoHyphens/>
        <w:spacing w:line="360" w:lineRule="auto"/>
        <w:ind w:right="44"/>
        <w:jc w:val="both"/>
        <w:rPr>
          <w:rFonts w:ascii="Arial" w:hAnsi="Arial" w:cs="Arial"/>
          <w:sz w:val="22"/>
          <w:szCs w:val="22"/>
        </w:rPr>
      </w:pPr>
      <w:r w:rsidRPr="00201277">
        <w:rPr>
          <w:rFonts w:ascii="Arial" w:hAnsi="Arial" w:cs="Arial"/>
          <w:sz w:val="22"/>
          <w:szCs w:val="22"/>
        </w:rPr>
        <w:t>Reglamento de Obras Marítimas y Portuarias.</w:t>
      </w:r>
    </w:p>
    <w:p w:rsidR="00197AA0" w:rsidRPr="00201277" w:rsidRDefault="00197AA0" w:rsidP="00232C32">
      <w:pPr>
        <w:numPr>
          <w:ilvl w:val="0"/>
          <w:numId w:val="23"/>
        </w:numPr>
        <w:suppressAutoHyphens/>
        <w:spacing w:line="360" w:lineRule="auto"/>
        <w:ind w:right="44"/>
        <w:jc w:val="both"/>
        <w:rPr>
          <w:rFonts w:ascii="Arial" w:hAnsi="Arial" w:cs="Arial"/>
          <w:sz w:val="22"/>
          <w:szCs w:val="22"/>
        </w:rPr>
      </w:pPr>
      <w:r w:rsidRPr="00201277">
        <w:rPr>
          <w:rFonts w:ascii="Arial" w:hAnsi="Arial" w:cs="Arial"/>
          <w:sz w:val="22"/>
          <w:szCs w:val="22"/>
        </w:rPr>
        <w:t>Reglamento de Operaciones Portuarias.</w:t>
      </w:r>
    </w:p>
    <w:p w:rsidR="00197AA0" w:rsidRPr="00201277" w:rsidRDefault="00197AA0" w:rsidP="00232C32">
      <w:pPr>
        <w:numPr>
          <w:ilvl w:val="0"/>
          <w:numId w:val="23"/>
        </w:numPr>
        <w:suppressAutoHyphens/>
        <w:spacing w:line="360" w:lineRule="auto"/>
        <w:ind w:right="44"/>
        <w:jc w:val="both"/>
        <w:rPr>
          <w:rFonts w:ascii="Arial" w:hAnsi="Arial" w:cs="Arial"/>
          <w:sz w:val="22"/>
          <w:szCs w:val="22"/>
        </w:rPr>
      </w:pPr>
      <w:r w:rsidRPr="00201277">
        <w:rPr>
          <w:rFonts w:ascii="Arial" w:hAnsi="Arial" w:cs="Arial"/>
          <w:sz w:val="22"/>
          <w:szCs w:val="22"/>
        </w:rPr>
        <w:t>Reglamento de Practicaje y Remolcaje.</w:t>
      </w:r>
    </w:p>
    <w:p w:rsidR="00197AA0" w:rsidRPr="00201277" w:rsidRDefault="00197AA0" w:rsidP="00232C32">
      <w:pPr>
        <w:numPr>
          <w:ilvl w:val="0"/>
          <w:numId w:val="23"/>
        </w:numPr>
        <w:suppressAutoHyphens/>
        <w:spacing w:line="360" w:lineRule="auto"/>
        <w:ind w:right="44"/>
        <w:jc w:val="both"/>
        <w:rPr>
          <w:rFonts w:ascii="Arial" w:hAnsi="Arial" w:cs="Arial"/>
          <w:sz w:val="22"/>
          <w:szCs w:val="22"/>
        </w:rPr>
      </w:pPr>
      <w:r w:rsidRPr="00201277">
        <w:rPr>
          <w:rFonts w:ascii="Arial" w:hAnsi="Arial" w:cs="Arial"/>
          <w:sz w:val="22"/>
          <w:szCs w:val="22"/>
        </w:rPr>
        <w:t>Reglamento de Recepción y Zarpe.</w:t>
      </w:r>
    </w:p>
    <w:p w:rsidR="00197AA0" w:rsidRPr="00201277" w:rsidRDefault="00197AA0" w:rsidP="00232C32">
      <w:pPr>
        <w:numPr>
          <w:ilvl w:val="0"/>
          <w:numId w:val="23"/>
        </w:numPr>
        <w:suppressAutoHyphens/>
        <w:spacing w:line="360" w:lineRule="auto"/>
        <w:ind w:right="44"/>
        <w:jc w:val="both"/>
        <w:rPr>
          <w:rFonts w:ascii="Arial" w:hAnsi="Arial" w:cs="Arial"/>
          <w:sz w:val="22"/>
          <w:szCs w:val="22"/>
        </w:rPr>
      </w:pPr>
      <w:r w:rsidRPr="00201277">
        <w:rPr>
          <w:rFonts w:ascii="Arial" w:hAnsi="Arial" w:cs="Arial"/>
          <w:sz w:val="22"/>
          <w:szCs w:val="22"/>
        </w:rPr>
        <w:t>Reglamento de Ayudas a la Navegación.</w:t>
      </w:r>
    </w:p>
    <w:p w:rsidR="00197AA0" w:rsidRPr="00201277" w:rsidRDefault="00197AA0" w:rsidP="00232C32">
      <w:pPr>
        <w:numPr>
          <w:ilvl w:val="0"/>
          <w:numId w:val="23"/>
        </w:numPr>
        <w:suppressAutoHyphens/>
        <w:spacing w:line="360" w:lineRule="auto"/>
        <w:ind w:right="44"/>
        <w:jc w:val="both"/>
        <w:rPr>
          <w:rFonts w:ascii="Arial" w:hAnsi="Arial" w:cs="Arial"/>
          <w:sz w:val="22"/>
          <w:szCs w:val="22"/>
        </w:rPr>
      </w:pPr>
      <w:r w:rsidRPr="00201277">
        <w:rPr>
          <w:rFonts w:ascii="Arial" w:hAnsi="Arial" w:cs="Arial"/>
          <w:sz w:val="22"/>
          <w:szCs w:val="22"/>
        </w:rPr>
        <w:t>Reglamento de Seguridad Integral.</w:t>
      </w:r>
    </w:p>
    <w:p w:rsidR="00197AA0" w:rsidRPr="00201277" w:rsidRDefault="00197AA0" w:rsidP="00232C32">
      <w:pPr>
        <w:numPr>
          <w:ilvl w:val="0"/>
          <w:numId w:val="23"/>
        </w:numPr>
        <w:suppressAutoHyphens/>
        <w:spacing w:line="360" w:lineRule="auto"/>
        <w:ind w:right="44"/>
        <w:jc w:val="both"/>
        <w:rPr>
          <w:rFonts w:ascii="Arial" w:hAnsi="Arial" w:cs="Arial"/>
          <w:sz w:val="22"/>
          <w:szCs w:val="22"/>
        </w:rPr>
      </w:pPr>
      <w:r w:rsidRPr="00201277">
        <w:rPr>
          <w:rFonts w:ascii="Arial" w:hAnsi="Arial" w:cs="Arial"/>
          <w:sz w:val="22"/>
          <w:szCs w:val="22"/>
        </w:rPr>
        <w:t>Reglamento Especial para la aplicación de Tarifas de Servicios Portuarios.</w:t>
      </w:r>
    </w:p>
    <w:p w:rsidR="00197AA0" w:rsidRPr="00201277" w:rsidRDefault="00197AA0" w:rsidP="00232C32">
      <w:pPr>
        <w:numPr>
          <w:ilvl w:val="0"/>
          <w:numId w:val="23"/>
        </w:numPr>
        <w:suppressAutoHyphens/>
        <w:spacing w:line="360" w:lineRule="auto"/>
        <w:ind w:right="44"/>
        <w:jc w:val="both"/>
        <w:rPr>
          <w:rFonts w:ascii="Arial" w:hAnsi="Arial" w:cs="Arial"/>
          <w:sz w:val="22"/>
          <w:szCs w:val="22"/>
        </w:rPr>
      </w:pPr>
      <w:r w:rsidRPr="00201277">
        <w:rPr>
          <w:rFonts w:ascii="Arial" w:hAnsi="Arial" w:cs="Arial"/>
          <w:sz w:val="22"/>
          <w:szCs w:val="22"/>
        </w:rPr>
        <w:t>Reglamento para la aplicación del Régimen Administrativo Sancionador por         Incumplimiento en el Ámbito Portuario.</w:t>
      </w:r>
    </w:p>
    <w:p w:rsidR="00197AA0" w:rsidRPr="00201277" w:rsidRDefault="00197AA0" w:rsidP="00232C32">
      <w:pPr>
        <w:spacing w:line="360" w:lineRule="auto"/>
        <w:ind w:right="44"/>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En este sentido es importante destacar que, las visiones sobre la legislación marítima salvadoreña poseen un contraste, sin embargo coinciden en alguna medida ya que los convenios internacionales que ha ratificado el país en los temas marítimos portuarios son muy escasos en relación a las necesidades que como país se están presentando en El Salvador con el caso del Puerto de La Unión.</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 xml:space="preserve">La AMP en su informe de Propuesta de Convenios a ratificar por El Salvador apunta: </w:t>
      </w:r>
      <w:r w:rsidRPr="00201277">
        <w:rPr>
          <w:rFonts w:ascii="Arial" w:hAnsi="Arial" w:cs="Arial"/>
          <w:i/>
          <w:sz w:val="22"/>
          <w:szCs w:val="22"/>
        </w:rPr>
        <w:t xml:space="preserve">Son muy escasos los convenios internacionales que ha ratificado en los temas marítimos portuarios. Tampoco ha ratificado convenios de la OIT relacionados directamente con la actividad marítima portuaria. En la actualidad, están ratificados,  según datos de la OMI actualizados al 31 de marzo del presente año, diez convenios: </w:t>
      </w:r>
      <w:r w:rsidRPr="00201277">
        <w:rPr>
          <w:rFonts w:ascii="Arial" w:hAnsi="Arial" w:cs="Arial"/>
          <w:i/>
          <w:sz w:val="22"/>
          <w:szCs w:val="22"/>
        </w:rPr>
        <w:lastRenderedPageBreak/>
        <w:t>Convenio OMI 48, Convenio de arqueo del 69, Convenio COLREG 72, Convenio para facilitar el tráfico marítimo internacional 65, Convenio CLC 1969, Protocolo CLC 76, Protocolo CLC 92, Convenio SUA 88, Protocolo SUA 88, Convenio internacional de lucha contra la contaminación por hidrocarburos, 90.</w:t>
      </w:r>
    </w:p>
    <w:p w:rsidR="00197AA0" w:rsidRPr="00201277" w:rsidRDefault="00197AA0" w:rsidP="00232C32">
      <w:pPr>
        <w:spacing w:line="360" w:lineRule="auto"/>
        <w:ind w:right="44" w:firstLine="567"/>
        <w:jc w:val="both"/>
        <w:rPr>
          <w:rFonts w:ascii="Arial" w:hAnsi="Arial" w:cs="Arial"/>
          <w:i/>
          <w:sz w:val="22"/>
          <w:szCs w:val="22"/>
        </w:rPr>
      </w:pPr>
    </w:p>
    <w:p w:rsidR="00197AA0" w:rsidRDefault="001D7573" w:rsidP="00232C32">
      <w:pPr>
        <w:spacing w:line="360" w:lineRule="auto"/>
        <w:ind w:right="44" w:firstLine="567"/>
        <w:jc w:val="both"/>
        <w:rPr>
          <w:rFonts w:ascii="Arial" w:hAnsi="Arial" w:cs="Arial"/>
          <w:i/>
          <w:sz w:val="22"/>
          <w:szCs w:val="22"/>
        </w:rPr>
      </w:pPr>
      <w:r w:rsidRPr="001D7573">
        <w:rPr>
          <w:rFonts w:ascii="Arial" w:hAnsi="Arial" w:cs="Arial"/>
          <w:noProof/>
          <w:sz w:val="22"/>
          <w:szCs w:val="22"/>
        </w:rPr>
        <w:pict>
          <v:shape id="_x0000_s1133" type="#_x0000_t202" style="position:absolute;left:0;text-align:left;margin-left:177.2pt;margin-top:126.7pt;width:31.8pt;height:21pt;z-index:251761664;mso-height-percent:200;mso-height-percent:200;mso-width-relative:margin;mso-height-relative:margin" fillcolor="white [3212]" stroked="f">
            <v:textbox style="mso-next-textbox:#_x0000_s1133;mso-fit-shape-to-text:t">
              <w:txbxContent>
                <w:p w:rsidR="00AC7D7B" w:rsidRDefault="00AC7D7B" w:rsidP="007467DF">
                  <w:r>
                    <w:t>86</w:t>
                  </w:r>
                </w:p>
              </w:txbxContent>
            </v:textbox>
          </v:shape>
        </w:pict>
      </w:r>
      <w:r w:rsidR="00197AA0" w:rsidRPr="00201277">
        <w:rPr>
          <w:rFonts w:ascii="Arial" w:hAnsi="Arial" w:cs="Arial"/>
          <w:sz w:val="22"/>
          <w:szCs w:val="22"/>
        </w:rPr>
        <w:t xml:space="preserve">Por su parte el Director Ejecutivo de la AMP, Lic. Carlos Borja expresa en una entrevista realizada el día 13 de junio de 2010; que se lleva la delantera a nivel centroamericano en materia de legislación marítima: </w:t>
      </w:r>
      <w:r w:rsidR="00197AA0" w:rsidRPr="00201277">
        <w:rPr>
          <w:rFonts w:ascii="Arial" w:hAnsi="Arial" w:cs="Arial"/>
          <w:i/>
          <w:sz w:val="22"/>
          <w:szCs w:val="22"/>
        </w:rPr>
        <w:t>Tenemos actualmente algunos convenios ratificados, la Organización Marítima Internacional está interesada inclusive de que se adopten planes regionales no solo de El Salvador sino que de toda Centroamérica…realmente el único país que actualmente tiene un plan de contingencia nacional es El Salvador, los demás países aun no lo han logrado consolidar y sin eso no podemos llegar al plan regional, en ese sentido El Salvador va adelante en cuanto a contar con esos planes, que son la suma de todos los planes de los diferentes puertos y marinas y terminales marítimas.</w:t>
      </w:r>
    </w:p>
    <w:p w:rsidR="00197AA0" w:rsidRPr="00201277" w:rsidRDefault="00197AA0" w:rsidP="00232C32">
      <w:pPr>
        <w:spacing w:line="360" w:lineRule="auto"/>
        <w:ind w:right="44" w:firstLine="567"/>
        <w:jc w:val="both"/>
        <w:rPr>
          <w:rFonts w:ascii="Arial" w:hAnsi="Arial" w:cs="Arial"/>
          <w:i/>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i/>
          <w:sz w:val="22"/>
          <w:szCs w:val="22"/>
        </w:rPr>
        <w:t xml:space="preserve"> </w:t>
      </w:r>
      <w:r w:rsidRPr="00201277">
        <w:rPr>
          <w:rFonts w:ascii="Arial" w:hAnsi="Arial" w:cs="Arial"/>
          <w:sz w:val="22"/>
          <w:szCs w:val="22"/>
        </w:rPr>
        <w:t xml:space="preserve">Sin embargo en contraste a la visión del Director Ejecutivo de la AMP, El Salvador no es parte de los principales convenios sobre seguridad marítima, en particular del Convenio Internacional para la Seguridad de la Vida Humana en el Mar (SOLAS) de 1974 así como sus sucesivas enmiendas. Por otro lado, la legislación marítima salvadoreña denota grandes esfuerzos por adoptar en su reglamentación interna disposiciones y procedimientos parecidos y en consonancia con las exigencias internacionales, que inducen a procurar el fortalecimiento de regulaciones destinadas a la seguridad física, operacional e industrial y la protección del medio ambiente en los buques, artefactos navales, instalaciones portuarias y terminales marítimas.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i/>
          <w:sz w:val="22"/>
          <w:szCs w:val="22"/>
        </w:rPr>
      </w:pPr>
      <w:r w:rsidRPr="00201277">
        <w:rPr>
          <w:rFonts w:ascii="Arial" w:hAnsi="Arial" w:cs="Arial"/>
          <w:sz w:val="22"/>
          <w:szCs w:val="22"/>
        </w:rPr>
        <w:t xml:space="preserve">Lo antes expuesto representa justamente una de las obligaciones más importantes para el Estado gerente del puerto; lo relativo a observar que los buques que icen su bandera y acceden a sus puertos cumplan con las normas internacionales y respondan a la competitividad exigida. Empero, es de importancia hacer notar que: </w:t>
      </w:r>
      <w:r w:rsidRPr="00201277">
        <w:rPr>
          <w:rFonts w:ascii="Arial" w:hAnsi="Arial" w:cs="Arial"/>
          <w:i/>
          <w:sz w:val="22"/>
          <w:szCs w:val="22"/>
        </w:rPr>
        <w:t xml:space="preserve">la adopción formal de los convenios internacionales por parte de un Estado, y sobre todo lo relativo a la seguridad de la vida humana en el mar, debe ir acompañada de medidas presupuestarias </w:t>
      </w:r>
      <w:r w:rsidRPr="00201277">
        <w:rPr>
          <w:rFonts w:ascii="Arial" w:hAnsi="Arial" w:cs="Arial"/>
          <w:i/>
          <w:sz w:val="22"/>
          <w:szCs w:val="22"/>
        </w:rPr>
        <w:lastRenderedPageBreak/>
        <w:t>que permitan la inversión en infraestructura, equipo y conocimiento técnico, con el fin de responder a los estándares exigidos a nivel internacional</w:t>
      </w:r>
      <w:r w:rsidRPr="00201277">
        <w:rPr>
          <w:rStyle w:val="Refdenotaalpie"/>
          <w:rFonts w:ascii="Arial" w:hAnsi="Arial" w:cs="Arial"/>
          <w:i/>
          <w:sz w:val="22"/>
          <w:szCs w:val="22"/>
        </w:rPr>
        <w:footnoteReference w:id="152"/>
      </w:r>
      <w:r w:rsidRPr="00201277">
        <w:rPr>
          <w:rFonts w:ascii="Arial" w:hAnsi="Arial" w:cs="Arial"/>
          <w:i/>
          <w:sz w:val="22"/>
          <w:szCs w:val="22"/>
        </w:rPr>
        <w:t>.</w:t>
      </w:r>
    </w:p>
    <w:p w:rsidR="00197AA0" w:rsidRPr="00201277" w:rsidRDefault="00197AA0" w:rsidP="00232C32">
      <w:pPr>
        <w:spacing w:line="360" w:lineRule="auto"/>
        <w:ind w:right="44" w:firstLine="567"/>
        <w:jc w:val="both"/>
        <w:rPr>
          <w:rFonts w:ascii="Arial" w:hAnsi="Arial" w:cs="Arial"/>
          <w:i/>
          <w:sz w:val="22"/>
          <w:szCs w:val="22"/>
        </w:rPr>
      </w:pPr>
    </w:p>
    <w:p w:rsidR="00197AA0" w:rsidRDefault="001D7573" w:rsidP="00232C32">
      <w:pPr>
        <w:spacing w:line="360" w:lineRule="auto"/>
        <w:ind w:right="44" w:firstLine="567"/>
        <w:jc w:val="both"/>
        <w:rPr>
          <w:rFonts w:ascii="Arial" w:hAnsi="Arial" w:cs="Arial"/>
          <w:i/>
          <w:sz w:val="22"/>
          <w:szCs w:val="22"/>
        </w:rPr>
      </w:pPr>
      <w:r w:rsidRPr="001D7573">
        <w:rPr>
          <w:rFonts w:ascii="Arial" w:hAnsi="Arial" w:cs="Arial"/>
          <w:noProof/>
          <w:sz w:val="22"/>
          <w:szCs w:val="22"/>
        </w:rPr>
        <w:pict>
          <v:shape id="_x0000_s1134" type="#_x0000_t202" style="position:absolute;left:0;text-align:left;margin-left:203.9pt;margin-top:191.75pt;width:31.8pt;height:21pt;z-index:251762688;mso-height-percent:200;mso-height-percent:200;mso-width-relative:margin;mso-height-relative:margin" fillcolor="white [3212]" stroked="f">
            <v:textbox style="mso-next-textbox:#_x0000_s1134;mso-fit-shape-to-text:t">
              <w:txbxContent>
                <w:p w:rsidR="00AC7D7B" w:rsidRDefault="00AC7D7B" w:rsidP="007467DF">
                  <w:r>
                    <w:t>87</w:t>
                  </w:r>
                </w:p>
              </w:txbxContent>
            </v:textbox>
          </v:shape>
        </w:pict>
      </w:r>
      <w:r w:rsidR="00197AA0" w:rsidRPr="00201277">
        <w:rPr>
          <w:rFonts w:ascii="Arial" w:hAnsi="Arial" w:cs="Arial"/>
          <w:sz w:val="22"/>
          <w:szCs w:val="22"/>
        </w:rPr>
        <w:t>En relación a la normativa internacional, el Director Ejecutivo de la AMP, apunta en la entrevista realizada el día 13 de junio de 2010 afirma</w:t>
      </w:r>
      <w:r w:rsidR="00197AA0" w:rsidRPr="00201277">
        <w:rPr>
          <w:rFonts w:ascii="Arial" w:hAnsi="Arial" w:cs="Arial"/>
          <w:i/>
          <w:sz w:val="22"/>
          <w:szCs w:val="22"/>
        </w:rPr>
        <w:t>: Es conveniente que El Salvador ratifique estos convenios que son de la Autoridad Marítima Internacional, la cual regula todo lo respectivo al transporte a nivel mundial y que todos los países, o la mayoría de países ratifican, porque todavía con más razón  hay que suscribirse y ratificar esos convenios porque regulan y delimitan la responsabilidad en casos de accidentes. En el caso por ejemplo de los derrames de hidrocarburos que serian para nuestro país un desastre ecológico, económico (porque afectaría la pesca), y afectaría también el turismo, aparte de todo lo que es flora, fauna y todo lo relacionado con el medio ambiente.</w:t>
      </w:r>
    </w:p>
    <w:p w:rsidR="00197AA0" w:rsidRPr="00201277" w:rsidRDefault="00197AA0" w:rsidP="00232C32">
      <w:pPr>
        <w:spacing w:line="360" w:lineRule="auto"/>
        <w:ind w:right="44" w:firstLine="567"/>
        <w:jc w:val="both"/>
        <w:rPr>
          <w:rFonts w:ascii="Arial" w:hAnsi="Arial" w:cs="Arial"/>
          <w:i/>
          <w:sz w:val="22"/>
          <w:szCs w:val="22"/>
        </w:rPr>
      </w:pPr>
    </w:p>
    <w:p w:rsidR="00197AA0" w:rsidRDefault="00197AA0" w:rsidP="00232C32">
      <w:pPr>
        <w:autoSpaceDE w:val="0"/>
        <w:spacing w:line="360" w:lineRule="auto"/>
        <w:ind w:right="44" w:firstLine="567"/>
        <w:jc w:val="both"/>
        <w:rPr>
          <w:rFonts w:ascii="Arial" w:hAnsi="Arial" w:cs="Arial"/>
          <w:sz w:val="22"/>
          <w:szCs w:val="22"/>
        </w:rPr>
      </w:pPr>
      <w:r w:rsidRPr="00201277">
        <w:rPr>
          <w:rFonts w:ascii="Arial" w:hAnsi="Arial" w:cs="Arial"/>
          <w:sz w:val="22"/>
          <w:szCs w:val="22"/>
        </w:rPr>
        <w:t>Es por lo tanto que finalmente se puede mencionar que El Salvador ha iniciado en los últimos años diversas y numerosas acciones que han estado orientadas a sistematizar y desarrollar la legislación marítima salvadoreña, mas sin embargo queda aún mucho por hacer, ya que los retos que se deben afrontar todavía, son muy grandes, como lo son; el fortalecimiento de un marco institucional, presupuestario, técnico, operativo, sin olvidar la adopción de normas o convenios internacionales muy importantes, que sean reconocidas a nivel mundial.</w:t>
      </w:r>
    </w:p>
    <w:p w:rsidR="00197AA0" w:rsidRPr="00201277" w:rsidRDefault="00197AA0" w:rsidP="00232C32">
      <w:pPr>
        <w:autoSpaceDE w:val="0"/>
        <w:spacing w:line="360" w:lineRule="auto"/>
        <w:ind w:right="44" w:firstLine="567"/>
        <w:jc w:val="both"/>
        <w:rPr>
          <w:rFonts w:ascii="Arial" w:hAnsi="Arial" w:cs="Arial"/>
          <w:sz w:val="22"/>
          <w:szCs w:val="22"/>
        </w:rPr>
      </w:pPr>
    </w:p>
    <w:p w:rsidR="00197AA0" w:rsidRDefault="00197AA0" w:rsidP="00232C32">
      <w:pPr>
        <w:autoSpaceDE w:val="0"/>
        <w:spacing w:line="360" w:lineRule="auto"/>
        <w:ind w:right="44" w:firstLine="567"/>
        <w:jc w:val="both"/>
        <w:rPr>
          <w:rFonts w:ascii="Arial" w:hAnsi="Arial" w:cs="Arial"/>
          <w:sz w:val="22"/>
          <w:szCs w:val="22"/>
        </w:rPr>
      </w:pPr>
      <w:r w:rsidRPr="00201277">
        <w:rPr>
          <w:rFonts w:ascii="Arial" w:hAnsi="Arial" w:cs="Arial"/>
          <w:sz w:val="22"/>
          <w:szCs w:val="22"/>
        </w:rPr>
        <w:t xml:space="preserve"> El Salvador debe acoplarse a los cambios que vaya presentando la realidad marítima, naviera, ya que el derecho marítimo ha sufrido grandes transformaciones, como por mencionar algunos, esta la expansión de la actividad naviera y el incremento de las negociaciones de convenios internacionales; además debe lograr culminar un proceso de unificación de las normas relativas a la seguridad laboral.</w:t>
      </w:r>
    </w:p>
    <w:p w:rsidR="00197AA0" w:rsidRPr="00201277" w:rsidRDefault="00197AA0" w:rsidP="00232C32">
      <w:pPr>
        <w:autoSpaceDE w:val="0"/>
        <w:spacing w:line="360" w:lineRule="auto"/>
        <w:ind w:right="44" w:firstLine="567"/>
        <w:jc w:val="both"/>
        <w:rPr>
          <w:rFonts w:ascii="Arial" w:hAnsi="Arial" w:cs="Arial"/>
          <w:sz w:val="22"/>
          <w:szCs w:val="22"/>
        </w:rPr>
      </w:pPr>
    </w:p>
    <w:p w:rsidR="00197AA0" w:rsidRDefault="00197AA0" w:rsidP="00232C32">
      <w:pPr>
        <w:autoSpaceDE w:val="0"/>
        <w:spacing w:line="360" w:lineRule="auto"/>
        <w:ind w:right="44" w:firstLine="567"/>
        <w:jc w:val="both"/>
        <w:rPr>
          <w:rFonts w:ascii="Arial" w:hAnsi="Arial" w:cs="Arial"/>
          <w:sz w:val="22"/>
          <w:szCs w:val="22"/>
        </w:rPr>
      </w:pPr>
      <w:r w:rsidRPr="00201277">
        <w:rPr>
          <w:rFonts w:ascii="Arial" w:hAnsi="Arial" w:cs="Arial"/>
          <w:sz w:val="22"/>
          <w:szCs w:val="22"/>
        </w:rPr>
        <w:t xml:space="preserve"> Es así como se puede concluir que las normas de derecho marítimo se encuentran en una etapa embrionaria, pero en claro desarrollo, para alcanzar una regulación legal efectiva sobre la materia, y de esta forma hacer frente a las exigencias que el ejercicio de jurisdicción y control en cuestiones administrativas, técnicas y sociales sobre los buques que enarbolen el estandarte salvadoreño, resulta necesario continuar esta tarea con gran insistencia. </w:t>
      </w:r>
    </w:p>
    <w:p w:rsidR="00197AA0" w:rsidRPr="00201277" w:rsidRDefault="00197AA0" w:rsidP="00232C32">
      <w:pPr>
        <w:autoSpaceDE w:val="0"/>
        <w:spacing w:line="360" w:lineRule="auto"/>
        <w:ind w:right="44" w:firstLine="567"/>
        <w:jc w:val="both"/>
        <w:rPr>
          <w:rFonts w:ascii="Arial" w:hAnsi="Arial" w:cs="Arial"/>
          <w:sz w:val="22"/>
          <w:szCs w:val="22"/>
        </w:rPr>
      </w:pPr>
    </w:p>
    <w:p w:rsidR="00197AA0" w:rsidRPr="00201277" w:rsidRDefault="001D7573" w:rsidP="00232C32">
      <w:pPr>
        <w:autoSpaceDE w:val="0"/>
        <w:spacing w:line="360" w:lineRule="auto"/>
        <w:ind w:right="44" w:firstLine="567"/>
        <w:jc w:val="both"/>
        <w:rPr>
          <w:rFonts w:ascii="Arial" w:hAnsi="Arial" w:cs="Arial"/>
          <w:sz w:val="22"/>
          <w:szCs w:val="22"/>
        </w:rPr>
      </w:pPr>
      <w:r>
        <w:rPr>
          <w:rFonts w:ascii="Arial" w:hAnsi="Arial" w:cs="Arial"/>
          <w:noProof/>
          <w:sz w:val="22"/>
          <w:szCs w:val="22"/>
        </w:rPr>
        <w:pict>
          <v:shape id="_x0000_s1135" type="#_x0000_t202" style="position:absolute;left:0;text-align:left;margin-left:208.9pt;margin-top:221.55pt;width:31.8pt;height:21pt;z-index:251763712;mso-height-percent:200;mso-height-percent:200;mso-width-relative:margin;mso-height-relative:margin" fillcolor="white [3212]" stroked="f">
            <v:textbox style="mso-next-textbox:#_x0000_s1135;mso-fit-shape-to-text:t">
              <w:txbxContent>
                <w:p w:rsidR="00AC7D7B" w:rsidRDefault="00AC7D7B" w:rsidP="007467DF">
                  <w:r>
                    <w:t>88</w:t>
                  </w:r>
                </w:p>
              </w:txbxContent>
            </v:textbox>
          </v:shape>
        </w:pict>
      </w:r>
      <w:r w:rsidR="00197AA0" w:rsidRPr="00201277">
        <w:rPr>
          <w:rFonts w:ascii="Arial" w:hAnsi="Arial" w:cs="Arial"/>
          <w:sz w:val="22"/>
          <w:szCs w:val="22"/>
        </w:rPr>
        <w:t>Como aspecto positivo cabe aclarar que la Ley General Marítima Portuaria constituye un avance cualitativo en la legislación marítima salvadoreña, con propensión integradora respecto de las normas internacionales reconocidas, ya que facilitará los mecanismos de control, inspección y vigilancia de los buques que enarbolen el pabellón nacional y de aquellos que  accedan  a los puertos nacionales y aguas territoriales. Por todo lo anterior, El Salvador debe tomar las acciones destinadas a evitar todo tipo de riesgos marítimos, desarrollar los medios necesarios para luchar eficazmente contra los mismos y garantizar que los buques que enarbolen el pabellón nacional respondan a estos criterios.</w:t>
      </w:r>
    </w:p>
    <w:p w:rsidR="00197AA0" w:rsidRDefault="00197AA0" w:rsidP="00232C32">
      <w:pPr>
        <w:autoSpaceDE w:val="0"/>
        <w:spacing w:line="360" w:lineRule="auto"/>
        <w:ind w:right="44" w:firstLine="567"/>
        <w:jc w:val="both"/>
        <w:rPr>
          <w:rFonts w:ascii="Arial" w:hAnsi="Arial" w:cs="Arial"/>
          <w:sz w:val="22"/>
          <w:szCs w:val="22"/>
        </w:rPr>
      </w:pPr>
    </w:p>
    <w:p w:rsidR="00197AA0" w:rsidRPr="00201277" w:rsidRDefault="00197AA0" w:rsidP="00232C32">
      <w:pPr>
        <w:autoSpaceDE w:val="0"/>
        <w:spacing w:line="360" w:lineRule="auto"/>
        <w:ind w:right="44"/>
        <w:jc w:val="both"/>
        <w:rPr>
          <w:rFonts w:ascii="Arial" w:hAnsi="Arial" w:cs="Arial"/>
          <w:sz w:val="22"/>
          <w:szCs w:val="22"/>
        </w:rPr>
      </w:pPr>
      <w:r w:rsidRPr="00201277">
        <w:rPr>
          <w:rFonts w:ascii="Arial" w:hAnsi="Arial" w:cs="Arial"/>
          <w:b/>
          <w:sz w:val="22"/>
          <w:szCs w:val="22"/>
        </w:rPr>
        <w:t>2.3.1 Convenios adheridos por parte de El Salvador</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Teniendo claro conocimiento de la situación actual de El Salvador en materia de legislación marítima, es necesario enfatizar como parte fundamental, en los instrumentos jurídicos que son necesarios para regular el amplio campo internacional marítimo como lo son los diversos convenios y tratados internacionales, es decir aquellos convenios que han sido ratificados por El Salvador, como también aquellos que se encuentran en la espera de ser ratificados por parte del mismo, ya que su adhesión resulta necesaria  para que la legislación marítima de El Salvador funcione de la mejor manera.</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Es así como se pueden destacar específicamente, los convenios que ya fueron ratificados por El Salvador tales como</w:t>
      </w:r>
      <w:r w:rsidRPr="00201277">
        <w:rPr>
          <w:rStyle w:val="Refdenotaalpie"/>
          <w:rFonts w:ascii="Arial" w:hAnsi="Arial" w:cs="Arial"/>
          <w:sz w:val="22"/>
          <w:szCs w:val="22"/>
        </w:rPr>
        <w:footnoteReference w:id="153"/>
      </w:r>
      <w:r w:rsidRPr="00201277">
        <w:rPr>
          <w:rFonts w:ascii="Arial" w:hAnsi="Arial" w:cs="Arial"/>
          <w:sz w:val="22"/>
          <w:szCs w:val="22"/>
        </w:rPr>
        <w:t xml:space="preserve">: </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numPr>
          <w:ilvl w:val="0"/>
          <w:numId w:val="24"/>
        </w:numPr>
        <w:suppressAutoHyphens/>
        <w:spacing w:line="360" w:lineRule="auto"/>
        <w:ind w:right="44"/>
        <w:jc w:val="both"/>
        <w:rPr>
          <w:rFonts w:ascii="Arial" w:hAnsi="Arial" w:cs="Arial"/>
          <w:sz w:val="22"/>
          <w:szCs w:val="22"/>
        </w:rPr>
      </w:pPr>
      <w:r w:rsidRPr="00201277">
        <w:rPr>
          <w:rFonts w:ascii="Arial" w:hAnsi="Arial" w:cs="Arial"/>
          <w:sz w:val="22"/>
          <w:szCs w:val="22"/>
        </w:rPr>
        <w:t>Convenio Internacional sobre Arqueo de Buques 69.</w:t>
      </w:r>
    </w:p>
    <w:p w:rsidR="00197AA0" w:rsidRPr="00201277" w:rsidRDefault="00197AA0" w:rsidP="00232C32">
      <w:pPr>
        <w:numPr>
          <w:ilvl w:val="0"/>
          <w:numId w:val="24"/>
        </w:numPr>
        <w:suppressAutoHyphens/>
        <w:spacing w:line="360" w:lineRule="auto"/>
        <w:ind w:right="44"/>
        <w:jc w:val="both"/>
        <w:rPr>
          <w:rFonts w:ascii="Arial" w:hAnsi="Arial" w:cs="Arial"/>
          <w:sz w:val="22"/>
          <w:szCs w:val="22"/>
        </w:rPr>
      </w:pPr>
      <w:r w:rsidRPr="00201277">
        <w:rPr>
          <w:rFonts w:ascii="Arial" w:hAnsi="Arial" w:cs="Arial"/>
          <w:bCs/>
          <w:sz w:val="22"/>
          <w:szCs w:val="22"/>
        </w:rPr>
        <w:t>Convenio sobre el reglamento para prevenir los abordajes (</w:t>
      </w:r>
      <w:r w:rsidRPr="00201277">
        <w:rPr>
          <w:rFonts w:ascii="Arial" w:hAnsi="Arial" w:cs="Arial"/>
          <w:sz w:val="22"/>
          <w:szCs w:val="22"/>
        </w:rPr>
        <w:t>COLREG 72).</w:t>
      </w:r>
    </w:p>
    <w:p w:rsidR="00197AA0" w:rsidRPr="00201277" w:rsidRDefault="00197AA0" w:rsidP="00232C32">
      <w:pPr>
        <w:numPr>
          <w:ilvl w:val="0"/>
          <w:numId w:val="24"/>
        </w:numPr>
        <w:suppressAutoHyphens/>
        <w:spacing w:line="360" w:lineRule="auto"/>
        <w:ind w:right="44"/>
        <w:jc w:val="both"/>
        <w:rPr>
          <w:rFonts w:ascii="Arial" w:hAnsi="Arial" w:cs="Arial"/>
          <w:sz w:val="22"/>
          <w:szCs w:val="22"/>
        </w:rPr>
      </w:pPr>
      <w:r w:rsidRPr="00201277">
        <w:rPr>
          <w:rFonts w:ascii="Arial" w:hAnsi="Arial" w:cs="Arial"/>
          <w:bCs/>
          <w:sz w:val="22"/>
          <w:szCs w:val="22"/>
          <w:lang w:val="es-MX"/>
        </w:rPr>
        <w:t>Convenio para Facilitar el Tráfico Marítimo Internacional (</w:t>
      </w:r>
      <w:r w:rsidRPr="00201277">
        <w:rPr>
          <w:rFonts w:ascii="Arial" w:hAnsi="Arial" w:cs="Arial"/>
          <w:sz w:val="22"/>
          <w:szCs w:val="22"/>
        </w:rPr>
        <w:t>FAL 65).</w:t>
      </w:r>
    </w:p>
    <w:p w:rsidR="00197AA0" w:rsidRPr="00201277" w:rsidRDefault="00197AA0" w:rsidP="00232C32">
      <w:pPr>
        <w:numPr>
          <w:ilvl w:val="0"/>
          <w:numId w:val="24"/>
        </w:numPr>
        <w:suppressAutoHyphens/>
        <w:spacing w:line="360" w:lineRule="auto"/>
        <w:ind w:right="44"/>
        <w:jc w:val="both"/>
        <w:rPr>
          <w:rFonts w:ascii="Arial" w:hAnsi="Arial" w:cs="Arial"/>
          <w:sz w:val="22"/>
          <w:szCs w:val="22"/>
        </w:rPr>
      </w:pPr>
      <w:r w:rsidRPr="00201277">
        <w:rPr>
          <w:rFonts w:ascii="Arial" w:hAnsi="Arial" w:cs="Arial"/>
          <w:sz w:val="22"/>
          <w:szCs w:val="22"/>
        </w:rPr>
        <w:t>Convenio Internacional sobre Responsabilidad Civil por Daños Causados por la Contaminación de las Aguas del Mar por Hidrocarburos (CLC 69/76).</w:t>
      </w:r>
    </w:p>
    <w:p w:rsidR="00197AA0" w:rsidRPr="00201277" w:rsidRDefault="00197AA0" w:rsidP="00232C32">
      <w:pPr>
        <w:numPr>
          <w:ilvl w:val="0"/>
          <w:numId w:val="24"/>
        </w:numPr>
        <w:suppressAutoHyphens/>
        <w:spacing w:line="360" w:lineRule="auto"/>
        <w:ind w:right="44"/>
        <w:jc w:val="both"/>
        <w:rPr>
          <w:rFonts w:ascii="Arial" w:hAnsi="Arial" w:cs="Arial"/>
          <w:sz w:val="22"/>
          <w:szCs w:val="22"/>
        </w:rPr>
      </w:pPr>
      <w:r w:rsidRPr="00201277">
        <w:rPr>
          <w:rFonts w:ascii="Arial" w:hAnsi="Arial" w:cs="Arial"/>
          <w:sz w:val="22"/>
          <w:szCs w:val="22"/>
        </w:rPr>
        <w:t>El Convenio Internacional sobre Cooperación, Preparación y Lucha Contra la Contaminación por Hidrocarburos (OPRC 90).</w:t>
      </w:r>
    </w:p>
    <w:p w:rsidR="00197AA0" w:rsidRPr="00201277" w:rsidRDefault="00197AA0" w:rsidP="00232C32">
      <w:pPr>
        <w:numPr>
          <w:ilvl w:val="0"/>
          <w:numId w:val="24"/>
        </w:numPr>
        <w:suppressAutoHyphens/>
        <w:spacing w:line="360" w:lineRule="auto"/>
        <w:ind w:right="44"/>
        <w:jc w:val="both"/>
        <w:rPr>
          <w:rFonts w:ascii="Arial" w:hAnsi="Arial" w:cs="Arial"/>
          <w:sz w:val="22"/>
          <w:szCs w:val="22"/>
        </w:rPr>
      </w:pPr>
      <w:r w:rsidRPr="00201277">
        <w:rPr>
          <w:rFonts w:ascii="Arial" w:hAnsi="Arial" w:cs="Arial"/>
          <w:sz w:val="22"/>
          <w:szCs w:val="22"/>
        </w:rPr>
        <w:lastRenderedPageBreak/>
        <w:t>Convenio Contra La Represión De Actos Ilícitos Contra La Seguridad De La Navegación Marítima (SUA 88).</w:t>
      </w:r>
    </w:p>
    <w:p w:rsidR="00197AA0" w:rsidRPr="00201277" w:rsidRDefault="00197AA0" w:rsidP="00232C32">
      <w:pPr>
        <w:suppressAutoHyphens/>
        <w:spacing w:line="360" w:lineRule="auto"/>
        <w:ind w:left="424" w:right="44"/>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Con respecto a los convenios anteriormente planteados, resulta interesante explicar en qué consiste cada uno de ellos:</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D7573" w:rsidP="00232C32">
      <w:pPr>
        <w:numPr>
          <w:ilvl w:val="0"/>
          <w:numId w:val="25"/>
        </w:numPr>
        <w:suppressAutoHyphens/>
        <w:spacing w:line="360" w:lineRule="auto"/>
        <w:ind w:right="44"/>
        <w:jc w:val="both"/>
        <w:rPr>
          <w:rFonts w:ascii="Arial" w:hAnsi="Arial" w:cs="Arial"/>
          <w:sz w:val="22"/>
          <w:szCs w:val="22"/>
        </w:rPr>
      </w:pPr>
      <w:r>
        <w:rPr>
          <w:rFonts w:ascii="Arial" w:hAnsi="Arial" w:cs="Arial"/>
          <w:noProof/>
          <w:sz w:val="22"/>
          <w:szCs w:val="22"/>
        </w:rPr>
        <w:pict>
          <v:shape id="_x0000_s1136" type="#_x0000_t202" style="position:absolute;left:0;text-align:left;margin-left:224.8pt;margin-top:180.7pt;width:31.8pt;height:21pt;z-index:251764736;mso-height-percent:200;mso-height-percent:200;mso-width-relative:margin;mso-height-relative:margin" fillcolor="white [3212]" stroked="f">
            <v:textbox style="mso-next-textbox:#_x0000_s1136;mso-fit-shape-to-text:t">
              <w:txbxContent>
                <w:p w:rsidR="00AC7D7B" w:rsidRDefault="00AC7D7B" w:rsidP="007467DF">
                  <w:r>
                    <w:t>89</w:t>
                  </w:r>
                </w:p>
              </w:txbxContent>
            </v:textbox>
          </v:shape>
        </w:pict>
      </w:r>
      <w:r w:rsidR="00197AA0" w:rsidRPr="00201277">
        <w:rPr>
          <w:rFonts w:ascii="Arial" w:hAnsi="Arial" w:cs="Arial"/>
          <w:sz w:val="22"/>
          <w:szCs w:val="22"/>
        </w:rPr>
        <w:t>Convenio Internacional sobre Arqueo de Buques 1969, también es conocido en inglés como Tonnage 69. La finalidad de este convenio consiste en establecer un sistema universal de arqueo de los buques que efectúan viajes internacionales y además reglamentar la determinación del arqueo bruto y neto</w:t>
      </w:r>
      <w:r w:rsidR="00197AA0" w:rsidRPr="00201277">
        <w:rPr>
          <w:rStyle w:val="Refdenotaalpie"/>
          <w:rFonts w:ascii="Arial" w:hAnsi="Arial" w:cs="Arial"/>
          <w:sz w:val="22"/>
          <w:szCs w:val="22"/>
        </w:rPr>
        <w:footnoteReference w:customMarkFollows="1" w:id="154"/>
        <w:sym w:font="Symbol" w:char="F02A"/>
      </w:r>
      <w:r w:rsidR="00197AA0" w:rsidRPr="00201277">
        <w:rPr>
          <w:rFonts w:ascii="Arial" w:hAnsi="Arial" w:cs="Arial"/>
          <w:sz w:val="22"/>
          <w:szCs w:val="22"/>
        </w:rPr>
        <w:t xml:space="preserve"> de los buques; en pocas palabras lo que se pretende es establecer o instaurar un sistema universal de arqueo. Los arqueos brutos y netos se utilizan para calcular las tarifas portuarias.</w:t>
      </w:r>
    </w:p>
    <w:p w:rsidR="00197AA0" w:rsidRPr="00201277" w:rsidRDefault="00197AA0" w:rsidP="00232C32">
      <w:pPr>
        <w:suppressAutoHyphens/>
        <w:spacing w:line="360" w:lineRule="auto"/>
        <w:ind w:left="360" w:right="44"/>
        <w:jc w:val="both"/>
        <w:rPr>
          <w:rFonts w:ascii="Arial" w:hAnsi="Arial" w:cs="Arial"/>
          <w:sz w:val="22"/>
          <w:szCs w:val="22"/>
        </w:rPr>
      </w:pPr>
    </w:p>
    <w:p w:rsidR="00197AA0" w:rsidRPr="00201277" w:rsidRDefault="00197AA0" w:rsidP="00232C32">
      <w:pPr>
        <w:numPr>
          <w:ilvl w:val="0"/>
          <w:numId w:val="25"/>
        </w:numPr>
        <w:suppressAutoHyphens/>
        <w:spacing w:line="360" w:lineRule="auto"/>
        <w:ind w:right="44"/>
        <w:jc w:val="both"/>
        <w:rPr>
          <w:rFonts w:ascii="Arial" w:hAnsi="Arial" w:cs="Arial"/>
          <w:sz w:val="22"/>
          <w:szCs w:val="22"/>
        </w:rPr>
      </w:pPr>
      <w:r w:rsidRPr="00201277">
        <w:rPr>
          <w:rFonts w:ascii="Arial" w:hAnsi="Arial" w:cs="Arial"/>
          <w:sz w:val="22"/>
          <w:szCs w:val="22"/>
        </w:rPr>
        <w:t xml:space="preserve">Convenio COLREG 1972 sobre el reglamento internacional para prevenir abordajes. El Convenio de abordajes trata sobre las reglas de navegación (luces, </w:t>
      </w:r>
      <w:hyperlink r:id="rId69" w:history="1">
        <w:r w:rsidRPr="00201277">
          <w:rPr>
            <w:rStyle w:val="Hipervnculo"/>
            <w:rFonts w:ascii="Arial" w:hAnsi="Arial" w:cs="Arial"/>
            <w:color w:val="auto"/>
            <w:sz w:val="22"/>
            <w:szCs w:val="22"/>
            <w:u w:val="none"/>
          </w:rPr>
          <w:t>marcas</w:t>
        </w:r>
      </w:hyperlink>
      <w:r w:rsidRPr="00201277">
        <w:rPr>
          <w:rFonts w:ascii="Arial" w:hAnsi="Arial" w:cs="Arial"/>
          <w:sz w:val="22"/>
          <w:szCs w:val="22"/>
        </w:rPr>
        <w:t xml:space="preserve"> y </w:t>
      </w:r>
      <w:hyperlink r:id="rId70" w:history="1">
        <w:r w:rsidRPr="00201277">
          <w:rPr>
            <w:rStyle w:val="Hipervnculo"/>
            <w:rFonts w:ascii="Arial" w:hAnsi="Arial" w:cs="Arial"/>
            <w:color w:val="auto"/>
            <w:sz w:val="22"/>
            <w:szCs w:val="22"/>
            <w:u w:val="none"/>
          </w:rPr>
          <w:t>señales</w:t>
        </w:r>
      </w:hyperlink>
      <w:r w:rsidRPr="00201277">
        <w:rPr>
          <w:rFonts w:ascii="Arial" w:hAnsi="Arial" w:cs="Arial"/>
          <w:sz w:val="22"/>
          <w:szCs w:val="22"/>
        </w:rPr>
        <w:t xml:space="preserve"> acústicas y luminosas). Su contenido consiste básicamente en prescripciones técnicas relativas a la posición y características de las luces y marcas, aparatos de señales acústicas, señales adicionales para buques de </w:t>
      </w:r>
      <w:hyperlink r:id="rId71" w:anchor="pesca" w:history="1">
        <w:r w:rsidRPr="00201277">
          <w:rPr>
            <w:rStyle w:val="Hipervnculo"/>
            <w:rFonts w:ascii="Arial" w:hAnsi="Arial" w:cs="Arial"/>
            <w:color w:val="auto"/>
            <w:sz w:val="22"/>
            <w:szCs w:val="22"/>
            <w:u w:val="none"/>
          </w:rPr>
          <w:t>pesca</w:t>
        </w:r>
      </w:hyperlink>
      <w:r w:rsidRPr="00201277">
        <w:rPr>
          <w:rFonts w:ascii="Arial" w:hAnsi="Arial" w:cs="Arial"/>
          <w:sz w:val="22"/>
          <w:szCs w:val="22"/>
        </w:rPr>
        <w:t xml:space="preserve"> que se encuentren faenando muy cerca de otros y sobre señales internacionales de socorro. Se proporciona orientación para determinar la </w:t>
      </w:r>
      <w:hyperlink r:id="rId72" w:anchor="TEORICO" w:history="1">
        <w:r w:rsidRPr="00201277">
          <w:rPr>
            <w:rStyle w:val="Hipervnculo"/>
            <w:rFonts w:ascii="Arial" w:hAnsi="Arial" w:cs="Arial"/>
            <w:color w:val="auto"/>
            <w:sz w:val="22"/>
            <w:szCs w:val="22"/>
            <w:u w:val="none"/>
          </w:rPr>
          <w:t>velocidad</w:t>
        </w:r>
      </w:hyperlink>
      <w:r w:rsidRPr="00201277">
        <w:rPr>
          <w:rFonts w:ascii="Arial" w:hAnsi="Arial" w:cs="Arial"/>
          <w:sz w:val="22"/>
          <w:szCs w:val="22"/>
        </w:rPr>
        <w:t xml:space="preserve"> de seguridad, el riesgo de abordaje y la </w:t>
      </w:r>
      <w:hyperlink r:id="rId73" w:history="1">
        <w:r w:rsidRPr="00201277">
          <w:rPr>
            <w:rStyle w:val="Hipervnculo"/>
            <w:rFonts w:ascii="Arial" w:hAnsi="Arial" w:cs="Arial"/>
            <w:color w:val="auto"/>
            <w:sz w:val="22"/>
            <w:szCs w:val="22"/>
            <w:u w:val="none"/>
          </w:rPr>
          <w:t>conducta</w:t>
        </w:r>
      </w:hyperlink>
      <w:r w:rsidRPr="00201277">
        <w:rPr>
          <w:rFonts w:ascii="Arial" w:hAnsi="Arial" w:cs="Arial"/>
          <w:sz w:val="22"/>
          <w:szCs w:val="22"/>
        </w:rPr>
        <w:t xml:space="preserve"> de buques que circulen dentro o en la proximidad de dispositivos de separación de tráfico. Otras reglas se refieren a la navegación de buques en canales, la conducta de los buques en condiciones de visibilidad reducida o buques con capacidad de maniobra restringida.</w:t>
      </w:r>
    </w:p>
    <w:p w:rsidR="00197AA0" w:rsidRPr="00201277" w:rsidRDefault="00197AA0" w:rsidP="00232C32">
      <w:pPr>
        <w:suppressAutoHyphens/>
        <w:spacing w:line="360" w:lineRule="auto"/>
        <w:ind w:left="720" w:right="44"/>
        <w:jc w:val="both"/>
        <w:rPr>
          <w:rFonts w:ascii="Arial" w:hAnsi="Arial" w:cs="Arial"/>
          <w:sz w:val="22"/>
          <w:szCs w:val="22"/>
        </w:rPr>
      </w:pPr>
    </w:p>
    <w:p w:rsidR="00197AA0" w:rsidRPr="00201277" w:rsidRDefault="001D7573" w:rsidP="00232C32">
      <w:pPr>
        <w:numPr>
          <w:ilvl w:val="0"/>
          <w:numId w:val="25"/>
        </w:numPr>
        <w:suppressAutoHyphens/>
        <w:spacing w:line="360" w:lineRule="auto"/>
        <w:ind w:right="44"/>
        <w:jc w:val="both"/>
        <w:rPr>
          <w:rFonts w:ascii="Arial" w:hAnsi="Arial" w:cs="Arial"/>
          <w:sz w:val="22"/>
          <w:szCs w:val="22"/>
        </w:rPr>
      </w:pPr>
      <w:r>
        <w:rPr>
          <w:rFonts w:ascii="Arial" w:hAnsi="Arial" w:cs="Arial"/>
          <w:noProof/>
          <w:sz w:val="22"/>
          <w:szCs w:val="22"/>
        </w:rPr>
        <w:pict>
          <v:shape id="_x0000_s1137" type="#_x0000_t202" style="position:absolute;left:0;text-align:left;margin-left:224.85pt;margin-top:347.55pt;width:31.8pt;height:21pt;z-index:251765760;mso-height-percent:200;mso-height-percent:200;mso-width-relative:margin;mso-height-relative:margin" fillcolor="white [3212]" stroked="f">
            <v:textbox style="mso-next-textbox:#_x0000_s1137;mso-fit-shape-to-text:t">
              <w:txbxContent>
                <w:p w:rsidR="00AC7D7B" w:rsidRDefault="00AC7D7B" w:rsidP="007467DF">
                  <w:r>
                    <w:t>90</w:t>
                  </w:r>
                </w:p>
              </w:txbxContent>
            </v:textbox>
          </v:shape>
        </w:pict>
      </w:r>
      <w:r w:rsidR="00197AA0" w:rsidRPr="00201277">
        <w:rPr>
          <w:rFonts w:ascii="Arial" w:hAnsi="Arial" w:cs="Arial"/>
          <w:sz w:val="22"/>
          <w:szCs w:val="22"/>
        </w:rPr>
        <w:t xml:space="preserve">Convenio sobre la facilitación del tráfico marítimo internacional 1965. Conocido también como Convenio de Facilitación, fue adoptado por la Conferencia internacional sobre facilitación de viajes y transporte marítimos el 9 de abril de 1965 y entró en vigor el 5 de marzo de 1967. Este convenio tiene por objeto </w:t>
      </w:r>
      <w:r w:rsidR="00197AA0" w:rsidRPr="00201277">
        <w:rPr>
          <w:rFonts w:ascii="Arial" w:hAnsi="Arial" w:cs="Arial"/>
          <w:sz w:val="22"/>
          <w:szCs w:val="22"/>
        </w:rPr>
        <w:lastRenderedPageBreak/>
        <w:t>facilitar el transporte marítimo mediante la reducción y simplificación al mínimo de los trámites, documentos y formalidades relacionados con la llegada, estancia en puerto y salida de los buques que efectúan viajes internacionales. El convenio fue originalmente elaborado para responder a la creciente preocupación internacional por el excesivo número de documentos exigidos a los buques mercantes. Los documentos que tradicionalmente se exigen las autoridades de aduanas, inmigración, sanidad y otros organismos públicos en relación con el buque, la tripulación, los pasajeros. los equipajes, la carga y el correo son muy numerosos. El papeleo innecesario constituye un problema en la mayoría de los sectores. El convenio pone de relieve la importancia de facilitar el tráfico marítimo y demuestra por qué las autoridades y los armadores que tienen que utilizar esos documentos deben adoptar el sistema d documentación normalizada que ha creado la OMI y cuyo uso a nivel mundial ha recomendado la Asamblea de la Organización. El anexo del convenio contiene las reglas para simplificar los trámites, documentos y formalidades exigidos a la llegada y salida de los buques y, en particular, reduce a ocho el número de documentos que las autoridades públicas pueden exigir, a saber: La declaración general, la declaración de carga, la declaración de provisiones del buque, la declaración de efectos de la tripulación, la lista de la tripulación, la lista de pasajeros y dos documentos más, uno prescrito por el Convenio Postal Universal y el otro por el Reglamento Sanitario Internacional. Además cabe resaltar que se le han hecho enmiendas al convenio, la primera fue en 1999, la segunda en el 2002 y la ultima se realizo en el 2005</w:t>
      </w:r>
      <w:r w:rsidR="00197AA0" w:rsidRPr="00201277">
        <w:rPr>
          <w:rStyle w:val="Refdenotaalpie"/>
          <w:rFonts w:ascii="Arial" w:hAnsi="Arial" w:cs="Arial"/>
          <w:sz w:val="22"/>
          <w:szCs w:val="22"/>
        </w:rPr>
        <w:footnoteReference w:customMarkFollows="1" w:id="155"/>
        <w:sym w:font="Symbol" w:char="F02A"/>
      </w:r>
      <w:r w:rsidR="00197AA0" w:rsidRPr="00201277">
        <w:rPr>
          <w:rFonts w:ascii="Arial" w:hAnsi="Arial" w:cs="Arial"/>
          <w:sz w:val="22"/>
          <w:szCs w:val="22"/>
        </w:rPr>
        <w:t>.</w:t>
      </w:r>
    </w:p>
    <w:p w:rsidR="00197AA0" w:rsidRPr="00201277" w:rsidRDefault="00197AA0" w:rsidP="00232C32">
      <w:pPr>
        <w:spacing w:line="360" w:lineRule="auto"/>
        <w:ind w:left="720" w:right="44"/>
        <w:jc w:val="both"/>
        <w:rPr>
          <w:rFonts w:ascii="Arial" w:hAnsi="Arial" w:cs="Arial"/>
          <w:sz w:val="22"/>
          <w:szCs w:val="22"/>
        </w:rPr>
      </w:pPr>
    </w:p>
    <w:p w:rsidR="00197AA0" w:rsidRPr="00201277" w:rsidRDefault="001D7573" w:rsidP="00232C32">
      <w:pPr>
        <w:numPr>
          <w:ilvl w:val="0"/>
          <w:numId w:val="25"/>
        </w:numPr>
        <w:suppressAutoHyphens/>
        <w:spacing w:line="360" w:lineRule="auto"/>
        <w:ind w:right="44"/>
        <w:jc w:val="both"/>
        <w:rPr>
          <w:rFonts w:ascii="Arial" w:hAnsi="Arial" w:cs="Arial"/>
          <w:sz w:val="22"/>
          <w:szCs w:val="22"/>
        </w:rPr>
      </w:pPr>
      <w:r>
        <w:rPr>
          <w:rFonts w:ascii="Arial" w:hAnsi="Arial" w:cs="Arial"/>
          <w:noProof/>
          <w:sz w:val="22"/>
          <w:szCs w:val="22"/>
        </w:rPr>
        <w:pict>
          <v:shape id="_x0000_s1138" type="#_x0000_t202" style="position:absolute;left:0;text-align:left;margin-left:205.2pt;margin-top:486.85pt;width:31.8pt;height:21pt;z-index:251766784;mso-height-percent:200;mso-height-percent:200;mso-width-relative:margin;mso-height-relative:margin" fillcolor="white [3212]" stroked="f">
            <v:textbox style="mso-next-textbox:#_x0000_s1138;mso-fit-shape-to-text:t">
              <w:txbxContent>
                <w:p w:rsidR="00AC7D7B" w:rsidRDefault="00AC7D7B" w:rsidP="007467DF">
                  <w:r>
                    <w:t>91</w:t>
                  </w:r>
                </w:p>
              </w:txbxContent>
            </v:textbox>
          </v:shape>
        </w:pict>
      </w:r>
      <w:r w:rsidR="00197AA0" w:rsidRPr="00201277">
        <w:rPr>
          <w:rFonts w:ascii="Arial" w:hAnsi="Arial" w:cs="Arial"/>
          <w:sz w:val="22"/>
          <w:szCs w:val="22"/>
        </w:rPr>
        <w:t xml:space="preserve">Convenio Internacional sobre Responsabilidad Civil por Contaminación de las Aguas por Hidrocarburos de 1969.  El convenio entró en vigor en el año de 1975,  su objeto radica en unificar reglas, métodos, conceptos, fijar montos limitados para otorgar una indemnización adecuada a quienes sufran daños causados por la contaminación resultante de derrames o descargas de hidrocarburos procedentes de buques, establecer un sistema para canalizar la responsabilidad de los daños que se produzcan, todo ello dentro del marco del derecho internacional privado. A pesar de lo cual, en la práctica, los afectados por los daños, generalmente, no obtienen una indemnización adecuada, que alcance para cubrir los gastos </w:t>
      </w:r>
      <w:r w:rsidR="00197AA0" w:rsidRPr="00201277">
        <w:rPr>
          <w:rFonts w:ascii="Arial" w:hAnsi="Arial" w:cs="Arial"/>
          <w:sz w:val="22"/>
          <w:szCs w:val="22"/>
        </w:rPr>
        <w:lastRenderedPageBreak/>
        <w:t>realizados para la recuperación del medio afectado y las pérdidas obtenidas como consecuencia de la contaminación, en un tiempo razonable. En 1976 se realizó el primer protocolo modificativo del convenio, que entró en vigor en 1981, por el cual se modifica la unidad de cuenta, que pasó de ser una unidad basada en el valor oficial oro, los francos oro, a los derechos especiales de giro, D.E.G., establecidos por el Fondo Monetario Internacional. Su valor se fija sobre la base de un promedio de cotizaciones de una canasta de monedas de los principales países desarrollados, dólar, libra, marco, etc. La referencia es a la moneda papel, obviamente, con lo que toda devaluación rebaja los límites. Las monedas sufren una devaluación notoria. Dentro de diez o veinte años, inflación mediante, los límites se habrán reducido a la mitad o menos. La única unidad de cuenta admisible y que ha demostrado funcionar es la unidad oro. Sin embargo deja librada la posibilidad para un Estado Contratante que no sea miembro del F.M.I. y cuya ley no permita la aplicación de los D.E.G., la utilización de una unidad monetaria equivalente, los francos oro</w:t>
      </w:r>
      <w:r w:rsidR="00197AA0" w:rsidRPr="00201277">
        <w:rPr>
          <w:rStyle w:val="Refdenotaalpie"/>
          <w:rFonts w:ascii="Arial" w:hAnsi="Arial" w:cs="Arial"/>
          <w:sz w:val="22"/>
          <w:szCs w:val="22"/>
        </w:rPr>
        <w:footnoteReference w:id="156"/>
      </w:r>
      <w:r w:rsidR="00197AA0" w:rsidRPr="00201277">
        <w:rPr>
          <w:rFonts w:ascii="Arial" w:hAnsi="Arial" w:cs="Arial"/>
          <w:sz w:val="22"/>
          <w:szCs w:val="22"/>
        </w:rPr>
        <w:t>.</w:t>
      </w:r>
    </w:p>
    <w:p w:rsidR="00197AA0" w:rsidRPr="00201277" w:rsidRDefault="00197AA0" w:rsidP="00232C32">
      <w:pPr>
        <w:spacing w:line="360" w:lineRule="auto"/>
        <w:ind w:right="44"/>
        <w:jc w:val="both"/>
        <w:rPr>
          <w:rFonts w:ascii="Arial" w:hAnsi="Arial" w:cs="Arial"/>
          <w:sz w:val="22"/>
          <w:szCs w:val="22"/>
        </w:rPr>
      </w:pPr>
    </w:p>
    <w:p w:rsidR="00197AA0" w:rsidRPr="00201277" w:rsidRDefault="00197AA0" w:rsidP="00232C32">
      <w:pPr>
        <w:numPr>
          <w:ilvl w:val="0"/>
          <w:numId w:val="25"/>
        </w:numPr>
        <w:suppressAutoHyphens/>
        <w:spacing w:line="360" w:lineRule="auto"/>
        <w:ind w:right="44"/>
        <w:jc w:val="both"/>
        <w:rPr>
          <w:rFonts w:ascii="Arial" w:hAnsi="Arial" w:cs="Arial"/>
          <w:sz w:val="22"/>
          <w:szCs w:val="22"/>
        </w:rPr>
      </w:pPr>
      <w:r w:rsidRPr="00201277">
        <w:rPr>
          <w:rFonts w:ascii="Arial" w:hAnsi="Arial" w:cs="Arial"/>
          <w:sz w:val="22"/>
          <w:szCs w:val="22"/>
        </w:rPr>
        <w:t>Convenio Internacional sobre contaminación de hidrocarburos, respuesta, preparación y cooperación u OPRC 90. Este Convenio fue elaborado con el fin de proporcionar un marco global para la Cooperación Internacional que permita responder a los desastres más importantes ocasionados por la contaminación del mar por hidrocarburos, procurando además que los Estados desarrollen y mantengan una adecuada capacidad para afrontar tales emergencias. Es importante destacar que el OPRC no se refiere sólo a incidentes provocados por buques, sin que abarque también a aquellos originados  por cualquier otra fuente. El convenio reconoce en forma explícita el principio de quien “contamina paga” y la importancia de involucrar a las industrias del petróleo y las compañías navieras en su implementación, dado que sin la colaboración y el   trabajo conjunto de los gobiernos con las industrias, no será posible alcanzar los objetivos buscados. Establece los sistemas nacionales de  lucha contra la contaminación por petróleo y sus derivados con organización normalizada. Fue ratificado por noventa países</w:t>
      </w:r>
      <w:r w:rsidRPr="00201277">
        <w:rPr>
          <w:rStyle w:val="Refdenotaalpie"/>
          <w:rFonts w:ascii="Arial" w:hAnsi="Arial" w:cs="Arial"/>
          <w:sz w:val="22"/>
          <w:szCs w:val="22"/>
        </w:rPr>
        <w:footnoteReference w:id="157"/>
      </w:r>
      <w:r w:rsidRPr="00201277">
        <w:rPr>
          <w:rFonts w:ascii="Arial" w:hAnsi="Arial" w:cs="Arial"/>
          <w:sz w:val="22"/>
          <w:szCs w:val="22"/>
        </w:rPr>
        <w:t>.</w:t>
      </w:r>
    </w:p>
    <w:p w:rsidR="00197AA0" w:rsidRPr="00201277" w:rsidRDefault="00197AA0" w:rsidP="00232C32">
      <w:pPr>
        <w:spacing w:line="360" w:lineRule="auto"/>
        <w:ind w:right="44"/>
        <w:jc w:val="both"/>
        <w:rPr>
          <w:rFonts w:ascii="Arial" w:hAnsi="Arial" w:cs="Arial"/>
          <w:sz w:val="22"/>
          <w:szCs w:val="22"/>
        </w:rPr>
      </w:pPr>
    </w:p>
    <w:p w:rsidR="00197AA0" w:rsidRPr="00201277" w:rsidRDefault="001D7573" w:rsidP="00232C32">
      <w:pPr>
        <w:numPr>
          <w:ilvl w:val="0"/>
          <w:numId w:val="25"/>
        </w:numPr>
        <w:suppressAutoHyphens/>
        <w:autoSpaceDE w:val="0"/>
        <w:spacing w:line="360" w:lineRule="auto"/>
        <w:ind w:right="44"/>
        <w:jc w:val="both"/>
        <w:rPr>
          <w:rFonts w:ascii="Arial" w:hAnsi="Arial" w:cs="Arial"/>
          <w:sz w:val="22"/>
          <w:szCs w:val="22"/>
          <w:lang w:val="es-SV"/>
        </w:rPr>
      </w:pPr>
      <w:r>
        <w:rPr>
          <w:rFonts w:ascii="Arial" w:hAnsi="Arial" w:cs="Arial"/>
          <w:noProof/>
          <w:sz w:val="22"/>
          <w:szCs w:val="22"/>
        </w:rPr>
        <w:lastRenderedPageBreak/>
        <w:pict>
          <v:shape id="_x0000_s1139" type="#_x0000_t202" style="position:absolute;left:0;text-align:left;margin-left:177.2pt;margin-top:316.45pt;width:31.8pt;height:21pt;z-index:251767808;mso-height-percent:200;mso-height-percent:200;mso-width-relative:margin;mso-height-relative:margin" fillcolor="white [3212]" stroked="f">
            <v:textbox style="mso-next-textbox:#_x0000_s1139;mso-fit-shape-to-text:t">
              <w:txbxContent>
                <w:p w:rsidR="00AC7D7B" w:rsidRDefault="00AC7D7B" w:rsidP="007467DF">
                  <w:r>
                    <w:t>92</w:t>
                  </w:r>
                </w:p>
              </w:txbxContent>
            </v:textbox>
          </v:shape>
        </w:pict>
      </w:r>
      <w:r w:rsidR="00197AA0" w:rsidRPr="00201277">
        <w:rPr>
          <w:rFonts w:ascii="Arial" w:hAnsi="Arial" w:cs="Arial"/>
          <w:sz w:val="22"/>
          <w:szCs w:val="22"/>
        </w:rPr>
        <w:t xml:space="preserve">Convenio para la Represión de los Actos Ilícitos Contra la Seguridad de la Navegación Marítima de 1988. </w:t>
      </w:r>
      <w:r w:rsidR="00197AA0" w:rsidRPr="00201277">
        <w:rPr>
          <w:rFonts w:ascii="Arial" w:hAnsi="Arial" w:cs="Arial"/>
          <w:sz w:val="22"/>
          <w:szCs w:val="22"/>
          <w:lang w:val="es-SV"/>
        </w:rPr>
        <w:t xml:space="preserve">Tras el incidente ocurrido en 1985, en el que un grupo de terroristas secuestró el buque italiano de cruceros </w:t>
      </w:r>
      <w:r w:rsidR="00197AA0" w:rsidRPr="00201277">
        <w:rPr>
          <w:rFonts w:ascii="Arial" w:hAnsi="Arial" w:cs="Arial"/>
          <w:bCs/>
          <w:sz w:val="22"/>
          <w:szCs w:val="22"/>
          <w:lang w:val="es-SV"/>
        </w:rPr>
        <w:t xml:space="preserve">Achille Lauro </w:t>
      </w:r>
      <w:r w:rsidR="00197AA0" w:rsidRPr="00201277">
        <w:rPr>
          <w:rFonts w:ascii="Arial" w:hAnsi="Arial" w:cs="Arial"/>
          <w:sz w:val="22"/>
          <w:szCs w:val="22"/>
          <w:lang w:val="es-SV"/>
        </w:rPr>
        <w:t>y mató a uno de sus pasajeros antes de negociar su rendición la OMI estableció una serie de medidas técnicas para prevenir los actos ilícitos contra los pasajeros y las tripulaciones a bordo de los buques, que culminaron en marzo de 1988 con la adopción del convenio para la represión de actos ilícitos contra la seguridad de la navegación marítima, el Convenio SUA, y su Protocolo relativo a las plataformas fijas, cuyo objetivo principal es garantizar que aquellos que cometen delitos contra los buques no recibirán refugio en ningún país, sino que serán procesados, o se concederá su extradición a un país que los someterá a juicio</w:t>
      </w:r>
      <w:r w:rsidR="00197AA0" w:rsidRPr="00201277">
        <w:rPr>
          <w:rStyle w:val="Refdenotaalpie"/>
          <w:rFonts w:ascii="Arial" w:hAnsi="Arial" w:cs="Arial"/>
          <w:sz w:val="22"/>
          <w:szCs w:val="22"/>
          <w:lang w:val="es-SV"/>
        </w:rPr>
        <w:footnoteReference w:id="158"/>
      </w:r>
      <w:r w:rsidR="00197AA0" w:rsidRPr="00201277">
        <w:rPr>
          <w:rFonts w:ascii="Arial" w:hAnsi="Arial" w:cs="Arial"/>
          <w:sz w:val="22"/>
          <w:szCs w:val="22"/>
          <w:lang w:val="es-SV"/>
        </w:rPr>
        <w:t>. Los actos ilícitos que abarca el Convenio SUA incluyen la captura de buques por la fuerza, los actos de violencia contra las personas a bordo de los buques y la colocación de artefactos que puedan destruir los o causarles daños. Debido a los acontecimiento terroristas del 2001, la OMI tomo conciencia de que tenía que brindar más seguridad al sector naviero y en el 2002 se realizó una conferencia donde se adoptaron una serie de medidas de protección más severas, junto con 11 resoluciones conexas, una de ellas el Código PBIP y en el 2005 se dio un protocolo al Convenio SUA.</w:t>
      </w:r>
    </w:p>
    <w:p w:rsidR="00197AA0" w:rsidRPr="00201277" w:rsidRDefault="00197AA0" w:rsidP="00232C32">
      <w:pPr>
        <w:suppressAutoHyphens/>
        <w:autoSpaceDE w:val="0"/>
        <w:spacing w:line="360" w:lineRule="auto"/>
        <w:ind w:left="360" w:right="44"/>
        <w:jc w:val="both"/>
        <w:rPr>
          <w:rFonts w:ascii="Arial" w:hAnsi="Arial" w:cs="Arial"/>
          <w:sz w:val="22"/>
          <w:szCs w:val="22"/>
          <w:lang w:val="es-SV"/>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Ahora teniendo un claro conocimiento de los convenios que El Salvador ha ratificado, es conveniente resaltar la importancia y transcendencia de aquellos convenios que aún quedan por ratificar. Una de las razones por las cuales el gobierno salvadoreño debería de adherirse a estos, es debido a que en la actualidad, se esta buscando promover un desarrollo portuario en la zona del Golfo de Fonseca con la modernización y entrada en funciones del Puerto de La Unión.</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Es con el desarrollo y modernización que está teniendo el Puerto de la Unión, en la zona del Golfo de Fonseca, que surge la necesidad que El Salvador se adhiera a convenios que aún se encuentran en estudio y que además el mismo ente regulador, es decir la AMP, elaboró un informe en el 2008 que recomendaba aquellos convenios internacionales que tiene que ratificar el gobierno salvadoreño para lograr un mejor y </w:t>
      </w:r>
      <w:r w:rsidRPr="00201277">
        <w:rPr>
          <w:rFonts w:ascii="Arial" w:hAnsi="Arial" w:cs="Arial"/>
          <w:sz w:val="22"/>
          <w:szCs w:val="22"/>
        </w:rPr>
        <w:lastRenderedPageBreak/>
        <w:t xml:space="preserve">sostenible desarrollo portuario. De esta manera es importante resaltar que hasta la fecha de hoy El Salvador ha adoptado un escaso número de instrumentos internacionales en materia de derecho marítimo, los cuales ya se mencionaron y explicaron anteriormente en este mismo apartado.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40" type="#_x0000_t202" style="position:absolute;left:0;text-align:left;margin-left:203.9pt;margin-top:178.1pt;width:31.8pt;height:21pt;z-index:251768832;mso-height-percent:200;mso-height-percent:200;mso-width-relative:margin;mso-height-relative:margin" fillcolor="white [3212]" stroked="f">
            <v:textbox style="mso-next-textbox:#_x0000_s1140;mso-fit-shape-to-text:t">
              <w:txbxContent>
                <w:p w:rsidR="00AC7D7B" w:rsidRDefault="00AC7D7B" w:rsidP="007467DF">
                  <w:r>
                    <w:t>93</w:t>
                  </w:r>
                </w:p>
              </w:txbxContent>
            </v:textbox>
          </v:shape>
        </w:pict>
      </w:r>
      <w:r w:rsidR="00197AA0" w:rsidRPr="00201277">
        <w:rPr>
          <w:rFonts w:ascii="Arial" w:hAnsi="Arial" w:cs="Arial"/>
          <w:sz w:val="22"/>
          <w:szCs w:val="22"/>
        </w:rPr>
        <w:t xml:space="preserve">Así mismo ante este breve escenario cabe mencionar que El Salvador no es parte de los principales convenios sobre seguridad marítima, en particular del Convenio sobre Seguridad de la Vida Humana en el Mar (SOLAS), y de sus sucesivas enmiendas. Sin embargo se denotan esfuerzos por adoptar en su reglamentación internas disposiciones y procedimientos similares y en consonancia con las exigencias internacionales, que inducen, a procurar el fortalecimiento de regulaciones destinadas a la seguridad física operacional e industrial y la protección del medio ambiente en los buques, artefactos navales, instalaciones portuarias y terminales marítimas.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Esto representa una de las obligaciones más importantes del Estado rector del puerto; lo relativo a observar que los buques que enarbolen su bandera y accedan  a sus puertos cumplan con las normas internacionales y respondan a la competitividad exigida. Sin embargo es de mencionar que la adopción formal de los convenios internacionales, por parte de un Estado, y sobre todo en lo relativo a la seguridad de la vida humana en el mar, debe ir acompañada de medidas presupuestarias que permitan la inversión en infraestructura, equipo y conocimiento técnico, con el fin de responder a los estándares exigidos a nivel internacional.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Es importante resaltar que no debe dejarse a un lado la importancia de que El Salvador se adhiera al Convenio Internacional para la Seguridad de la Vida Humana en el Mar (SOLAS) para poder ser competitivo a nivel internacional, es decir que debe estudiarse y debatirse la posible dificultad constitucional para su ratificación y procurar superarla</w:t>
      </w:r>
      <w:r w:rsidRPr="00201277">
        <w:rPr>
          <w:rStyle w:val="Refdenotaalpie"/>
          <w:rFonts w:ascii="Arial" w:hAnsi="Arial" w:cs="Arial"/>
          <w:sz w:val="22"/>
          <w:szCs w:val="22"/>
        </w:rPr>
        <w:footnoteReference w:id="159"/>
      </w:r>
      <w:r w:rsidRPr="00201277">
        <w:rPr>
          <w:rFonts w:ascii="Arial" w:hAnsi="Arial" w:cs="Arial"/>
          <w:sz w:val="22"/>
          <w:szCs w:val="22"/>
        </w:rPr>
        <w:t xml:space="preserve">.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También es interesante destacar que otro convenio que es vital e importante, del cual carece El Salvador es el Convenio MARPOL 73/78, ya que este es uno de los más importantes y uno de los que mayor ratificación ha tenido por parte de los países con </w:t>
      </w:r>
      <w:r w:rsidRPr="00201277">
        <w:rPr>
          <w:rFonts w:ascii="Arial" w:hAnsi="Arial" w:cs="Arial"/>
          <w:sz w:val="22"/>
          <w:szCs w:val="22"/>
        </w:rPr>
        <w:lastRenderedPageBreak/>
        <w:t xml:space="preserve">mayor actividad marítima y portuaria. Además cabe resaltar que la importancia de este se deriva principalmente, porque este es un convenio especializado en tratar la contaminación marina proveniente de los buques. También porque trata aspectos técnicos fundamentales como el diseño y equipamiento de los buques; estableciendo así que todos estos que realicen transporte de hidrocarburos y otras sustancias contaminantes transportadas o producidas por ellos deberán disponer de doble casco.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41" type="#_x0000_t202" style="position:absolute;left:0;text-align:left;margin-left:208.9pt;margin-top:183.6pt;width:31.8pt;height:21pt;z-index:251769856;mso-height-percent:200;mso-height-percent:200;mso-width-relative:margin;mso-height-relative:margin" fillcolor="white [3212]" stroked="f">
            <v:textbox style="mso-next-textbox:#_x0000_s1141;mso-fit-shape-to-text:t">
              <w:txbxContent>
                <w:p w:rsidR="00AC7D7B" w:rsidRDefault="00AC7D7B" w:rsidP="007467DF">
                  <w:r>
                    <w:t>94</w:t>
                  </w:r>
                </w:p>
              </w:txbxContent>
            </v:textbox>
          </v:shape>
        </w:pict>
      </w:r>
      <w:r w:rsidR="00197AA0" w:rsidRPr="00201277">
        <w:rPr>
          <w:rFonts w:ascii="Arial" w:hAnsi="Arial" w:cs="Arial"/>
          <w:sz w:val="22"/>
          <w:szCs w:val="22"/>
        </w:rPr>
        <w:t xml:space="preserve">En caso que El Salvador formara parte de este convenio internacional, tendría la obligación de hacer cumplir a toda aquella embarcación o buque extranjero, que arribe a su puerto, con las condiciones establecidas en este instrumento jurídico, sin importar que este buque extranjero haya o no ratificado el convenio. De esta manera se podría garantizar de mejor manera la seguridad ambiental de los puertos y costas en el territorio salvadoreño, además serviría para prevenir y reducir probabilidades de riesgo de contaminación por hidrocarburos, ya sea por vertidos o por derrames. </w:t>
      </w:r>
    </w:p>
    <w:p w:rsidR="00197AA0" w:rsidRPr="00201277" w:rsidRDefault="00197AA0" w:rsidP="00232C32">
      <w:pPr>
        <w:spacing w:line="360" w:lineRule="auto"/>
        <w:ind w:right="44" w:firstLine="567"/>
        <w:jc w:val="both"/>
        <w:rPr>
          <w:rFonts w:ascii="Arial" w:hAnsi="Arial" w:cs="Arial"/>
          <w:sz w:val="22"/>
          <w:szCs w:val="22"/>
        </w:rPr>
      </w:pPr>
    </w:p>
    <w:p w:rsidR="00197AA0" w:rsidRPr="005D430C"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Se </w:t>
      </w:r>
      <w:r w:rsidRPr="005D430C">
        <w:rPr>
          <w:rFonts w:ascii="Arial" w:hAnsi="Arial" w:cs="Arial"/>
          <w:sz w:val="22"/>
          <w:szCs w:val="22"/>
        </w:rPr>
        <w:t>considera pertinente que al presentarse una posible adhesión por parte de El Salvador al Convenio MARPOL, se acepten cumplir los anexos III, IV, V, que son facultativos; es decir que el Estado al ratificar el convenio está en la libre disposición en decidir si los acepta o no, pero a pesar de esta disposición anteriormente planteada, se considera conveniente adoptar también estos anexos que el MARPOL presenta, ya que vendría a fortalecer aún más la efectividad que representa este convenio</w:t>
      </w:r>
      <w:r w:rsidRPr="005D430C">
        <w:rPr>
          <w:rStyle w:val="Refdenotaalpie"/>
          <w:rFonts w:ascii="Arial" w:hAnsi="Arial" w:cs="Arial"/>
          <w:sz w:val="22"/>
          <w:szCs w:val="22"/>
        </w:rPr>
        <w:footnoteReference w:customMarkFollows="1" w:id="160"/>
        <w:sym w:font="Symbol" w:char="F02A"/>
      </w:r>
      <w:r w:rsidRPr="005D430C">
        <w:rPr>
          <w:rStyle w:val="Smbolodenotaalpie"/>
          <w:rFonts w:ascii="Arial" w:hAnsi="Arial" w:cs="Arial"/>
          <w:sz w:val="22"/>
          <w:szCs w:val="22"/>
        </w:rPr>
        <w:t xml:space="preserve"> </w:t>
      </w:r>
      <w:r w:rsidRPr="005D430C">
        <w:rPr>
          <w:rStyle w:val="TextoindependienteCar"/>
          <w:rFonts w:ascii="Arial" w:hAnsi="Arial" w:cs="Arial"/>
          <w:sz w:val="22"/>
          <w:szCs w:val="22"/>
        </w:rPr>
        <w:t>Es también importante hacer mención que tanto el Convenio SOLAS como el Convenio MARPOL, son vitales</w:t>
      </w:r>
      <w:r w:rsidRPr="005D430C">
        <w:rPr>
          <w:rFonts w:ascii="Arial" w:hAnsi="Arial" w:cs="Arial"/>
          <w:sz w:val="22"/>
          <w:szCs w:val="22"/>
        </w:rPr>
        <w:t xml:space="preserve"> ya que ambos se complementan; tal como está estipulado en el Capítulo 7, sección 2 del Convenio SOLAS, que complementa algunas disposiciones del MARPOL, referentes a sustancias peligrosas y contaminantes transportadas por buques.</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Es por lo tanto que ante este breve panorama planteado, se considera transcendental que el Gobierno Salvadoreño se adhiera a este tipo de convenios internacionales; ya que en la práctica, desde que entró en vigor el MARPOL 73/78 en 1984 a nivel internacional, se ha contribuido a disminuir la contaminación de los mares.</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lastRenderedPageBreak/>
        <w:t>Una vez más, se puede destacar, que otro de los convenios internacionales, que carece de la ratificación por parte de El Salvador es el Convenio FONDO</w:t>
      </w:r>
      <w:r w:rsidRPr="005D430C">
        <w:rPr>
          <w:rStyle w:val="Refdenotaalpie"/>
          <w:rFonts w:ascii="Arial" w:hAnsi="Arial"/>
          <w:sz w:val="22"/>
          <w:szCs w:val="22"/>
        </w:rPr>
        <w:footnoteReference w:customMarkFollows="1" w:id="161"/>
        <w:sym w:font="Symbol" w:char="F02A"/>
      </w:r>
      <w:r w:rsidRPr="005D430C">
        <w:rPr>
          <w:rStyle w:val="Refdenotaalpie"/>
          <w:rFonts w:ascii="Arial" w:hAnsi="Arial"/>
          <w:sz w:val="22"/>
          <w:szCs w:val="22"/>
        </w:rPr>
        <w:sym w:font="Symbol" w:char="F02A"/>
      </w:r>
      <w:r w:rsidRPr="00201277">
        <w:rPr>
          <w:rStyle w:val="Smbolodenotaalpie"/>
          <w:rFonts w:ascii="Arial" w:hAnsi="Arial" w:cs="Arial"/>
          <w:sz w:val="22"/>
          <w:szCs w:val="22"/>
        </w:rPr>
        <w:t xml:space="preserve"> </w:t>
      </w:r>
      <w:r w:rsidRPr="00201277">
        <w:rPr>
          <w:rFonts w:ascii="Arial" w:hAnsi="Arial" w:cs="Arial"/>
          <w:sz w:val="22"/>
          <w:szCs w:val="22"/>
        </w:rPr>
        <w:t xml:space="preserve">con este instrumento jurídico se pretende ampliar la indemnización a las víctimas de un daño, con una indemnización adicional y limitar la responsabilidad del propietario del buque. Como ya se mencionó y se describió anteriormente El Salvador ya ratificó el Convenio sobre Responsabilidad Civil; y este Convenio FONDO, viene a ser complementario con este mismo, por lo tanto todo Estado que pasa a ser parte del Convenio del Fondo se convierte en miembro del FIDAC. </w:t>
      </w: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42" type="#_x0000_t202" style="position:absolute;left:0;text-align:left;margin-left:210.4pt;margin-top:157.75pt;width:31.8pt;height:21pt;z-index:251770880;mso-height-percent:200;mso-height-percent:200;mso-width-relative:margin;mso-height-relative:margin" fillcolor="white [3212]" stroked="f">
            <v:textbox style="mso-next-textbox:#_x0000_s1142;mso-fit-shape-to-text:t">
              <w:txbxContent>
                <w:p w:rsidR="00AC7D7B" w:rsidRDefault="00AC7D7B" w:rsidP="007467DF">
                  <w:r>
                    <w:t>95</w:t>
                  </w:r>
                </w:p>
              </w:txbxContent>
            </v:textbox>
          </v:shape>
        </w:pict>
      </w:r>
      <w:r w:rsidR="00197AA0" w:rsidRPr="00201277">
        <w:rPr>
          <w:rFonts w:ascii="Arial" w:hAnsi="Arial" w:cs="Arial"/>
          <w:sz w:val="22"/>
          <w:szCs w:val="22"/>
        </w:rPr>
        <w:t>También se puede mencionar la importancia que cobraría para El Salvador, el adherirse a este convenio; como lo sería el incremento del límite de indemnización pagadera por el FIDAC, así como también la cobertura de los daños que se provoquen por contaminación de hidrocarburos provenientes de buques tanque sin carga, cuestión que anteriormente no estaba planteada de tal manera ya que solo se indemnizaba cuando el buque iba cargado, también se beneficiaría en el aspecto de la restauración del ambiente dañado, lo cual denota que actualmente se cuenta con una nueva concepción del término “daños ocasionados por contaminación”.</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Estas son algunas razones por las cuales es recomendable que el Estado salvadoreño se adhiera o ratifique el Convenio FONDO de 1992. Cabe destacar que  el FONDO de 1971 ya no está en vigor desde el año 2002, por lo tanto este ya no tiene más Estados miembros. Además con la adhesión al FONDO 1992 se podría optar por ingresar al FONDO complementario 2005, que se creó con la intención de complementar la indemnización disponible en virtud de los Convenios de Responsabilidad Civil y del FONDO de 1992 con un tercer nivel de indemnización adicional. La afiliación al Fondo Complementario es optativa y cualquier Estado que sea Miembro del FONDO de 1992 puede afiliarse.</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De esta manera resulta interesante destacar un poco lo que la Autoridad Marítima Portuaria (AMP) considera respecto al tema de los convenios internacionales tratados en este apartado, ya que como institución ha planteado su postura respecto a la necesidad de la adhesión de dichos convenios por parte del El Salvador, de acuerdo a esto se realizó una entrevista a algunos miembros de la Autoridad Marítima Portuaria, tal fue el </w:t>
      </w:r>
      <w:r w:rsidRPr="00201277">
        <w:rPr>
          <w:rFonts w:ascii="Arial" w:hAnsi="Arial" w:cs="Arial"/>
          <w:sz w:val="22"/>
          <w:szCs w:val="22"/>
        </w:rPr>
        <w:lastRenderedPageBreak/>
        <w:t xml:space="preserve">caso del Ing. Freddy Villalta, Director de dicha entidad que expresó que El Salvador cuenta actualmente con escasos convenios internacionales en materia de legislación marítima y ante esto no consideran que la legislación interna se vea afectada por los convenios ya que no hay normas internas de rango legal en el sector marítimo portuario de El Salvador. También dicha institución es optimista al plantear que se busca lograr un mayor desarrollo y modernización del sector marítimo portuario del que además se espera que sea uno de los motores de la economía nacional.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43" type="#_x0000_t202" style="position:absolute;left:0;text-align:left;margin-left:208.9pt;margin-top:145.65pt;width:31.8pt;height:21pt;z-index:251771904;mso-height-percent:200;mso-height-percent:200;mso-width-relative:margin;mso-height-relative:margin" fillcolor="white [3212]" stroked="f">
            <v:textbox style="mso-next-textbox:#_x0000_s1143;mso-fit-shape-to-text:t">
              <w:txbxContent>
                <w:p w:rsidR="00AC7D7B" w:rsidRDefault="00AC7D7B" w:rsidP="007467DF">
                  <w:r>
                    <w:t>96</w:t>
                  </w:r>
                </w:p>
              </w:txbxContent>
            </v:textbox>
          </v:shape>
        </w:pict>
      </w:r>
      <w:r w:rsidR="00197AA0" w:rsidRPr="00201277">
        <w:rPr>
          <w:rFonts w:ascii="Arial" w:hAnsi="Arial" w:cs="Arial"/>
          <w:sz w:val="22"/>
          <w:szCs w:val="22"/>
        </w:rPr>
        <w:t xml:space="preserve">Así mismo dicha institución considera que es muy aconsejable permitir a los futuros grandes concesionarios de puertos nacionales tener la máxima libertad que otorga la falta de convenios en vigor, al mismo tiempo establecen que estos convenios tendrán que ser implementados de manera tal que se obtenga una mayor rentabilidad que se produzca en la actividad portuaria nacional. Ante esto dicha institución manifiesta que los convenios que afectan actividades portuarias tendrán una prioridad muy baja ya que deberán ser consensuados, o escuchados por los grandes operadores y concesionarios, así como a los empresarios del comercio exterior que usan los puertos como eslabones competitivos de su cadena logística.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De esta manera la AMP formuló un plan donde se establecieron una serie de propuestas y recomendaciones al Estado salvadoreño en relación a la adhesión de los convenios internacionales que como Estado se necesitan para lograr un desarrollo portuario. También es importante mencionar que la implementación del código PBIP Código de Protección de Buques e Instalaciones Portuarias, debe ser tratado con mucha prioridad según dicha institución, ya que con la adhesión de este código resulta suficiente protección según la AMP; y así se le ha dado más relevancia a este, que a los mismos convenios en el país, ya que actualmente dicho código está ratificado por El Salvador e implementado en el Puerto de Acajutla y el Puerto de La Unión.</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Hay que resaltar un convenio que se considera muy importante y el cual además fue considerado como tal por la Autoridad Marítima Portuaria, que es la adhesión al Convenio Internacional sobre Normas de Formación, Titulación y Guardia (Standards of </w:t>
      </w:r>
      <w:r w:rsidRPr="00201277">
        <w:rPr>
          <w:rFonts w:ascii="Arial" w:hAnsi="Arial" w:cs="Arial"/>
          <w:sz w:val="22"/>
          <w:szCs w:val="22"/>
        </w:rPr>
        <w:lastRenderedPageBreak/>
        <w:t>Training, Certification and Wathkeeping, STCW 95)</w:t>
      </w:r>
      <w:r w:rsidRPr="00201277">
        <w:rPr>
          <w:rStyle w:val="Refdenotaalpie"/>
          <w:rFonts w:ascii="Arial" w:hAnsi="Arial" w:cs="Arial"/>
          <w:sz w:val="22"/>
          <w:szCs w:val="22"/>
        </w:rPr>
        <w:footnoteReference w:customMarkFollows="1" w:id="162"/>
        <w:sym w:font="Symbol" w:char="F02A"/>
      </w:r>
      <w:r w:rsidRPr="00201277">
        <w:rPr>
          <w:rFonts w:ascii="Arial" w:hAnsi="Arial" w:cs="Arial"/>
          <w:sz w:val="22"/>
          <w:szCs w:val="22"/>
        </w:rPr>
        <w:t>, debido a que regula todo lo relacionado a lo de la gente de mar y así se pudiera contar con la posibilidad de poder certificar la escuela de marino mercantes y así luego ellos ya pudieran trabajar en la industria. Cabe mencionar un dato estadístico muy llamativo e importante, y es que aproximadamente 133 Estados han ratificado la convención, que estos a su vez representa el 98% de la flota mundial de marina mercante</w:t>
      </w:r>
      <w:r w:rsidRPr="00201277">
        <w:rPr>
          <w:rStyle w:val="Refdenotaalpie"/>
          <w:rFonts w:ascii="Arial" w:hAnsi="Arial" w:cs="Arial"/>
          <w:sz w:val="22"/>
          <w:szCs w:val="22"/>
        </w:rPr>
        <w:footnoteReference w:id="163"/>
      </w:r>
      <w:r w:rsidRPr="00201277">
        <w:rPr>
          <w:rFonts w:ascii="Arial" w:hAnsi="Arial" w:cs="Arial"/>
          <w:sz w:val="22"/>
          <w:szCs w:val="22"/>
        </w:rPr>
        <w:t>. Por lo tanto ante una ratificación del Convenio STCW 95, se tendría una mejor formación y titulación profesional de la gente de mar en los buques mercantes.</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44" type="#_x0000_t202" style="position:absolute;left:0;text-align:left;margin-left:205.2pt;margin-top:171.5pt;width:31.8pt;height:21pt;z-index:251772928;mso-height-percent:200;mso-height-percent:200;mso-width-relative:margin;mso-height-relative:margin" fillcolor="white [3212]" stroked="f">
            <v:textbox style="mso-next-textbox:#_x0000_s1144;mso-fit-shape-to-text:t">
              <w:txbxContent>
                <w:p w:rsidR="00AC7D7B" w:rsidRDefault="00AC7D7B" w:rsidP="007467DF">
                  <w:r>
                    <w:t>97</w:t>
                  </w:r>
                </w:p>
              </w:txbxContent>
            </v:textbox>
          </v:shape>
        </w:pict>
      </w:r>
      <w:r w:rsidR="00197AA0" w:rsidRPr="00201277">
        <w:rPr>
          <w:rFonts w:ascii="Arial" w:hAnsi="Arial" w:cs="Arial"/>
          <w:sz w:val="22"/>
          <w:szCs w:val="22"/>
        </w:rPr>
        <w:t>De acuerdo a este breve marco, y punto de vista de la AMP, es necesario resaltar que a pesar de la importancia que tienen los convenios internacionales anteriormente descritos, resulta contrastante que El Salvador siga siendo el único país, que aún no ratifica los convenios internacionales necesarios para hacer frente a un desarrollo portuario que impulsa el país con el Puerto de La Unión, es decir que aún no se ha presentado la posibilidad de que El Salvador se adhiera o ratifique a los convenios internacionales, que resultarían de gran beneficio para el desarrollo de los puertos del país, y que además servirían para incrementar las posibilidades de convertirse realmente en un centro logístico y ser competitivo a nivel internacional. No obstante no hay que dejar de lado, que la ratificación de estos convenios, representaría altas probabilidades de reducción y prevención de contaminación marina por hidrocarburos.</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jc w:val="both"/>
        <w:rPr>
          <w:rFonts w:ascii="Arial" w:hAnsi="Arial" w:cs="Arial"/>
          <w:b/>
          <w:sz w:val="22"/>
          <w:szCs w:val="22"/>
        </w:rPr>
      </w:pP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2.4 Rol de las Instituciones competentes</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Las instituciones competentes encargadas de promocionar el desarrollo portuario, así como también de regular, administrar, fiscalizar, supervisar; las actividades marítimas, portuarias y del borde costero de El Salvador, han tenido un papel relevante e importante desde el inicio de las operaciones en materia portuaria, específicamente en el Puerto de Acajutla y el Puerto de la Unión, estas instituciones han sido la AMP, CEPA y como ente principal el Gobierno Central. Es de esta manera, que es importante conocer con mayor profundidad el papel que cada una de estas ha desempeñado a lo largo de la actividad </w:t>
      </w:r>
      <w:r w:rsidRPr="00201277">
        <w:rPr>
          <w:rFonts w:ascii="Arial" w:hAnsi="Arial" w:cs="Arial"/>
          <w:sz w:val="22"/>
          <w:szCs w:val="22"/>
        </w:rPr>
        <w:lastRenderedPageBreak/>
        <w:t xml:space="preserve">económica del país, así como también cuales serán los roles específicos que cada uno de estos ejercerán en la actualidad ante la inminente modernización de las instalaciones portuarias sobre todo la del Puerto de La Unión. </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45" type="#_x0000_t202" style="position:absolute;left:0;text-align:left;margin-left:208.9pt;margin-top:278.45pt;width:31.8pt;height:21pt;z-index:251773952;mso-height-percent:200;mso-height-percent:200;mso-width-relative:margin;mso-height-relative:margin" fillcolor="white [3212]" stroked="f">
            <v:textbox style="mso-next-textbox:#_x0000_s1145;mso-fit-shape-to-text:t">
              <w:txbxContent>
                <w:p w:rsidR="00AC7D7B" w:rsidRDefault="00AC7D7B" w:rsidP="007467DF">
                  <w:r>
                    <w:t>98</w:t>
                  </w:r>
                </w:p>
              </w:txbxContent>
            </v:textbox>
          </v:shape>
        </w:pict>
      </w:r>
      <w:r w:rsidR="00197AA0" w:rsidRPr="00201277">
        <w:rPr>
          <w:rFonts w:ascii="Arial" w:hAnsi="Arial" w:cs="Arial"/>
          <w:sz w:val="22"/>
          <w:szCs w:val="22"/>
        </w:rPr>
        <w:t>Cabe resaltar también, que los roles que deberán desempeñar estas instituciones, no solo son de carácter interno sino que también deberán ejercer funciones externas, es decir que estas instituciones deben impulsar el progreso de El Salvador en diferentes comisiones y organismos internacionales, como lo son: La Comisión Interamericana de Puertos de la Organización de Estados Americanos (CIP-OEA), de la cual es importante mencionar que, el país tuvo por segundo periodo consecutivo, la vicepresidencia para la región centroamericana, en el periodo del 2007-2009; otro organismo es la Comisión Centroamericana de Transporte Marítimo (COCATRAM); la Asociación Americana de Autoridades Portuarias</w:t>
      </w:r>
      <w:r w:rsidR="00197AA0" w:rsidRPr="00201277">
        <w:rPr>
          <w:rStyle w:val="Refdenotaalpie"/>
          <w:rFonts w:ascii="Arial" w:hAnsi="Arial" w:cs="Arial"/>
          <w:sz w:val="22"/>
          <w:szCs w:val="22"/>
        </w:rPr>
        <w:footnoteReference w:customMarkFollows="1" w:id="164"/>
        <w:sym w:font="Symbol" w:char="F02A"/>
      </w:r>
      <w:r w:rsidR="00197AA0" w:rsidRPr="00201277">
        <w:rPr>
          <w:rFonts w:ascii="Arial" w:hAnsi="Arial" w:cs="Arial"/>
          <w:sz w:val="22"/>
          <w:szCs w:val="22"/>
        </w:rPr>
        <w:t xml:space="preserve"> (AAPA) y en la Organización Marítima Internacional.</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Es por lo tanto que a continuación se presenta de manera más detallada y completa, los roles que deben y tendrán que ejercer las instituciones antes mencionadas para lograr un verdadero desarrollo en el Puerto de La Unión, y convertirlo realmente en un centro de logística regional.</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2.4.1 AMP</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La Autoridad Marítima Portuaria (AMP) nació como institución a través de la aprobación de la Ley General Marítimo Portuaria el 1 de noviembre del 2002. Desde ese momento se inició la conformación del Consejo Directivo que la presidiría, los directores tomaron posesión el año siguiente, el día 16 de septiembre de 2003 y terminaron su período en el 2007. Es importante mencionar que para el año 2004 la institución recibió su presupuesto que fue aprobado por la asamblea legislativa del país, con lo cual se dio inicio a las actividades de formación de la institución. Ya para el 2005 se procedió a contratar y capacitar personal y además se adquirió el equipo necesario para el funcionamiento de la AMP.</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46" type="#_x0000_t202" style="position:absolute;left:0;text-align:left;margin-left:213.45pt;margin-top:314.2pt;width:40.55pt;height:34.8pt;z-index:251774976;mso-height-percent:200;mso-height-percent:200;mso-width-relative:margin;mso-height-relative:margin" fillcolor="white [3212]" stroked="f">
            <v:textbox style="mso-next-textbox:#_x0000_s1146;mso-fit-shape-to-text:t">
              <w:txbxContent>
                <w:p w:rsidR="00AC7D7B" w:rsidRDefault="00AC7D7B" w:rsidP="007467DF">
                  <w:r>
                    <w:t>99</w:t>
                  </w:r>
                </w:p>
              </w:txbxContent>
            </v:textbox>
          </v:shape>
        </w:pict>
      </w:r>
      <w:r w:rsidR="00197AA0" w:rsidRPr="00201277">
        <w:rPr>
          <w:rFonts w:ascii="Arial" w:hAnsi="Arial" w:cs="Arial"/>
          <w:sz w:val="22"/>
          <w:szCs w:val="22"/>
        </w:rPr>
        <w:t xml:space="preserve"> Según lo establecido en la Constitución de la República de El Salvador se establece que el territorio nacional es irreductible, estando comprendido dentro de este mismo el espacio marítimo, el cual estará sujeto a la jurisdicción y soberanía nacional. Es por lo tanto que es necesario regular, todo lo relacionado con los servicios de navegación marítima y con los servicios de los puertos nacionales, además también se buscaba lograr una regulación técnica y económica del subsector de transporte marítimo portuario; es así que surge la necesidad de crear o contar con una entidad especializada en el área, que además contará con personalidad jurídica, autonomía administrativa, técnica y financiera, y con patrimonio propio, todo esto con el propósito de garantizar su continuo desarrollo institucional; y que no fuera un ente estático, sino que se mantenga en constante evolución; y con una capacidad técnica efectiva para el cumplimiento de sus servicios. Son por estas razones, que se considera pertinente crear una ley general marítimo portuaria, para que faculten legalmente todas las funciones a desempeñar por la Autoridad Marítima Portuaria, y en la cual se establecerá claramente el marco legal para que estos roles sean desempeñados de la mejor manera, sin salirse en ningún momento de lo que le corresponde.</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Tomando como referencia el capítulo II en su artículo 7 de la Ley General Marítimo Portuaria, en el cual se establecen las competencias institucionales que tendrá a cargo la AMP, tales son las siguientes:</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1.- Fomentar el desarrollo de las actividades marítimas y portuarias de El Salvador, y elaborar, ante las autoridades superiores, propuestas de políticas públicas relacionadas con las actividades marítimas portuarias.</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2.- Fiscalizar, supervisar y controlar todas las actividades de transporte marítimo y</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portuarias de El Salvador.</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3.- Establecer reglas y procedimientos técnicos alternos, para garantizar la seguridad</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de la navegación de los buques y de todo tipo de artefacto naval.</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4.- Ejecutar todas las competencias y funciones relacionadas con el registro marítimo</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portuario de El Salvador.</w:t>
      </w:r>
    </w:p>
    <w:p w:rsidR="00197AA0" w:rsidRDefault="00197AA0" w:rsidP="00232C32">
      <w:pPr>
        <w:autoSpaceDE w:val="0"/>
        <w:spacing w:line="360" w:lineRule="auto"/>
        <w:ind w:right="44"/>
        <w:jc w:val="both"/>
        <w:rPr>
          <w:rFonts w:ascii="Arial" w:hAnsi="Arial" w:cs="Arial"/>
          <w:lang w:val="es-SV"/>
        </w:rPr>
      </w:pPr>
      <w:r w:rsidRPr="00201277">
        <w:rPr>
          <w:rFonts w:ascii="Arial" w:hAnsi="Arial" w:cs="Arial"/>
          <w:sz w:val="22"/>
          <w:szCs w:val="22"/>
          <w:lang w:val="es-SV"/>
        </w:rPr>
        <w:t>5.- Representar al país ante organismos</w:t>
      </w:r>
      <w:r>
        <w:rPr>
          <w:rFonts w:ascii="Arial" w:hAnsi="Arial" w:cs="Arial"/>
          <w:lang w:val="es-SV"/>
        </w:rPr>
        <w:t xml:space="preserve"> internacionales e intervenir en las negociaciones de tratados y convenios internacionales en materia de puertos y de</w:t>
      </w:r>
    </w:p>
    <w:p w:rsidR="00197AA0" w:rsidRPr="00201277" w:rsidRDefault="00197AA0" w:rsidP="00232C32">
      <w:pPr>
        <w:spacing w:line="360" w:lineRule="auto"/>
        <w:ind w:right="44"/>
        <w:jc w:val="both"/>
        <w:rPr>
          <w:rFonts w:ascii="Arial" w:hAnsi="Arial" w:cs="Arial"/>
          <w:sz w:val="22"/>
          <w:szCs w:val="22"/>
          <w:lang w:val="es-SV"/>
        </w:rPr>
      </w:pPr>
      <w:r w:rsidRPr="00201277">
        <w:rPr>
          <w:rFonts w:ascii="Arial" w:hAnsi="Arial" w:cs="Arial"/>
          <w:sz w:val="22"/>
          <w:szCs w:val="22"/>
          <w:lang w:val="es-SV"/>
        </w:rPr>
        <w:t>temáticas marítimas.</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lastRenderedPageBreak/>
        <w:t xml:space="preserve">6.- Supervisar y controlar los procesos de otorgamiento y de cumplimiento de los contratos de concesión de los puertos nacionales. </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7.- Regular tarifas portuarias y establecer los mecanismos de ajuste de las mismas</w:t>
      </w:r>
    </w:p>
    <w:p w:rsidR="00197AA0" w:rsidRPr="00201277" w:rsidRDefault="00197AA0" w:rsidP="00232C32">
      <w:pPr>
        <w:autoSpaceDE w:val="0"/>
        <w:spacing w:line="360" w:lineRule="auto"/>
        <w:ind w:right="44"/>
        <w:rPr>
          <w:rFonts w:ascii="Arial" w:hAnsi="Arial" w:cs="Arial"/>
          <w:sz w:val="22"/>
          <w:szCs w:val="22"/>
          <w:lang w:val="es-SV"/>
        </w:rPr>
      </w:pPr>
      <w:r w:rsidRPr="00201277">
        <w:rPr>
          <w:rFonts w:ascii="Arial" w:hAnsi="Arial" w:cs="Arial"/>
          <w:sz w:val="22"/>
          <w:szCs w:val="22"/>
        </w:rPr>
        <w:t>8</w:t>
      </w:r>
      <w:r w:rsidRPr="00201277">
        <w:rPr>
          <w:rFonts w:ascii="Arial" w:hAnsi="Arial" w:cs="Arial"/>
          <w:sz w:val="22"/>
          <w:szCs w:val="22"/>
          <w:lang w:val="es-SV"/>
        </w:rPr>
        <w:t>.- Supervisar las actividades operacionales que se desarrollen en los puertos, incluyendo el mantenimiento de las instalaciones portuarias.</w:t>
      </w:r>
    </w:p>
    <w:p w:rsidR="00197AA0" w:rsidRPr="00201277" w:rsidRDefault="00197AA0" w:rsidP="00232C32">
      <w:pPr>
        <w:autoSpaceDE w:val="0"/>
        <w:spacing w:line="360" w:lineRule="auto"/>
        <w:ind w:right="44"/>
        <w:rPr>
          <w:rFonts w:ascii="Arial" w:hAnsi="Arial" w:cs="Arial"/>
          <w:sz w:val="22"/>
          <w:szCs w:val="22"/>
          <w:lang w:val="es-SV"/>
        </w:rPr>
      </w:pPr>
    </w:p>
    <w:p w:rsidR="00197AA0"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Teniendo conocimiento de las competencias institucionales de la AMP, es necesario tomar en cuenta el papel que esta misma ha desarrollado frente a la modernización del Puerto de La Unión, y para ahondar y conocer con mayor profundidad el papel que esta ha venido desempeñando, se contó con la oportunidad de entrevistar al Director Ejecutivo de la AMP, quien manifestó que es bastante conveniente que El Salvador ratifique los convenios de la OMI, los relacionados al transporte marítimo a nivel mundial, ya que vendrían a regular y delimitar la responsabilidad en caso de accidentes tales como los derrames por hidrocarburos, todo esto vendría a beneficiar al país con el fin de evitar tragedias como estas, y no sólo en el aspecto económico sino también en la pesca y demás. </w:t>
      </w:r>
    </w:p>
    <w:p w:rsidR="00197AA0" w:rsidRPr="00201277" w:rsidRDefault="001D7573" w:rsidP="00232C32">
      <w:pPr>
        <w:autoSpaceDE w:val="0"/>
        <w:spacing w:line="360" w:lineRule="auto"/>
        <w:ind w:right="44" w:firstLine="567"/>
        <w:jc w:val="both"/>
        <w:rPr>
          <w:rFonts w:ascii="Arial" w:hAnsi="Arial" w:cs="Arial"/>
          <w:sz w:val="22"/>
          <w:szCs w:val="22"/>
          <w:lang w:val="es-SV"/>
        </w:rPr>
      </w:pPr>
      <w:r>
        <w:rPr>
          <w:rFonts w:ascii="Arial" w:hAnsi="Arial" w:cs="Arial"/>
          <w:noProof/>
          <w:sz w:val="22"/>
          <w:szCs w:val="22"/>
        </w:rPr>
        <w:pict>
          <v:shape id="_x0000_s1147" type="#_x0000_t202" style="position:absolute;left:0;text-align:left;margin-left:209pt;margin-top:47.4pt;width:45pt;height:34.8pt;z-index:251776000;mso-height-percent:200;mso-height-percent:200;mso-width-relative:margin;mso-height-relative:margin" fillcolor="white [3212]" stroked="f">
            <v:textbox style="mso-next-textbox:#_x0000_s1147;mso-fit-shape-to-text:t">
              <w:txbxContent>
                <w:p w:rsidR="00AC7D7B" w:rsidRDefault="00AC7D7B" w:rsidP="007467DF">
                  <w:r>
                    <w:t>100</w:t>
                  </w:r>
                </w:p>
              </w:txbxContent>
            </v:textbox>
          </v:shape>
        </w:pict>
      </w:r>
    </w:p>
    <w:p w:rsidR="00197AA0"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Concretamente la AMP ha venido teniendo un rol bastante dinámico y continuo ya que el Director Ejecutivo de dicha institución manifestaba que como AMP estaban interesados en que se adoptaran planes regionales no solo en El Salvador sino también en toda Centroamérica, y ante esto se han venido realizando una serie de esfuerzos como la reunión que se celebró en Costa Rica donde se debatieron temas relacionados al Derecho Marítimo.</w:t>
      </w:r>
    </w:p>
    <w:p w:rsidR="00197AA0" w:rsidRPr="00201277" w:rsidRDefault="00197AA0" w:rsidP="00232C32">
      <w:pPr>
        <w:autoSpaceDE w:val="0"/>
        <w:spacing w:line="360" w:lineRule="auto"/>
        <w:ind w:right="44" w:firstLine="567"/>
        <w:jc w:val="both"/>
        <w:rPr>
          <w:rFonts w:ascii="Arial" w:hAnsi="Arial" w:cs="Arial"/>
          <w:sz w:val="22"/>
          <w:szCs w:val="22"/>
          <w:lang w:val="es-SV"/>
        </w:rPr>
      </w:pPr>
    </w:p>
    <w:p w:rsidR="00197AA0" w:rsidRPr="00201277"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Así mismo, dicho Director Ejecutivo de la AMP manifestaba que han venido acompañando al Gobierno Salvadoreño y al mismo tiempo a CEPA para poder definir una política que han planteado al MOP, en materia de desarrollo portuario y marítimo, que aún no ha sido aprobado; sin embargo desde antes que surgiera la AMP, CEPA y Secretaría Técnica, estaban ejecutando una serie de propuestas para definir cuáles eran las más convenientes para el país, de ahí que nace la iniciativa y la idea de la construcción del Puerto de la Unión, tomando en cuenta que anteriormente durante el periodo de la guerra, el Puerto de La Unión había quedado totalmente abandonado y tiempo después nace la idea de reactivarlo como sector importante de la economía del país. </w:t>
      </w: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lang w:val="es-SV"/>
        </w:rPr>
        <w:lastRenderedPageBreak/>
        <w:t xml:space="preserve">Además se consideró al Puerto de La Unión desde el inicio de su construcción como un sitio ideal para el manejo de contenedores por la novedad de su diseño bajo el cual ha sido construido. De esta manera el rol de la AMP ha sido el de supervisar las obras de construcción del Puerto de la Unión acompañando a CEPA y al Gobierno central en su planteamiento de iniciativa de cómo se operaría un proyecto de esta magnitud, aprobando la puesta en operación de dicho puerto, así como también las certificaciones del mismo y las tarifas que se le cobrarían a los usuarios de este, tomando en cuenta tres cuestiones claves, la </w:t>
      </w:r>
      <w:r w:rsidRPr="00201277">
        <w:rPr>
          <w:rFonts w:ascii="Arial" w:hAnsi="Arial" w:cs="Arial"/>
          <w:sz w:val="22"/>
          <w:szCs w:val="22"/>
        </w:rPr>
        <w:t xml:space="preserve">operatividad, aprobación de la operación del puerto y la certificación de puerto seguro.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 xml:space="preserve">De la misma manera la AMP ha enunciado algunas de las expectativas que se tienen con la apertura del Puerto de La Unión, ya que con el paso del tiempo se ha retrasado la operación y concesión del mismo, tomando en cuenta que el Estado aún no cuenta con suficientes fondos para invertir permanentemente porque se tienen otros temas de relevancia de carácter social que merecen atención, por esto se pretende otorgar el puerto a un inversionista privado.  </w:t>
      </w:r>
    </w:p>
    <w:p w:rsidR="00197AA0" w:rsidRPr="00201277" w:rsidRDefault="001D7573" w:rsidP="00232C32">
      <w:pPr>
        <w:autoSpaceDE w:val="0"/>
        <w:spacing w:line="360" w:lineRule="auto"/>
        <w:ind w:right="44" w:firstLine="567"/>
        <w:jc w:val="both"/>
        <w:rPr>
          <w:rFonts w:ascii="Arial" w:hAnsi="Arial" w:cs="Arial"/>
          <w:sz w:val="22"/>
          <w:szCs w:val="22"/>
          <w:lang w:val="es-SV"/>
        </w:rPr>
      </w:pPr>
      <w:r>
        <w:rPr>
          <w:rFonts w:ascii="Arial" w:hAnsi="Arial" w:cs="Arial"/>
          <w:noProof/>
          <w:sz w:val="22"/>
          <w:szCs w:val="22"/>
        </w:rPr>
        <w:pict>
          <v:shape id="_x0000_s1148" type="#_x0000_t202" style="position:absolute;left:0;text-align:left;margin-left:199.05pt;margin-top:38.65pt;width:48.4pt;height:21pt;z-index:251777024;mso-height-percent:200;mso-height-percent:200;mso-width-relative:margin;mso-height-relative:margin" fillcolor="white [3212]" stroked="f">
            <v:textbox style="mso-next-textbox:#_x0000_s1148;mso-fit-shape-to-text:t">
              <w:txbxContent>
                <w:p w:rsidR="00AC7D7B" w:rsidRDefault="00AC7D7B" w:rsidP="007467DF">
                  <w:r>
                    <w:t>101</w:t>
                  </w:r>
                </w:p>
              </w:txbxContent>
            </v:textbox>
          </v:shape>
        </w:pict>
      </w:r>
    </w:p>
    <w:p w:rsidR="00197AA0" w:rsidRPr="00201277" w:rsidRDefault="00197AA0" w:rsidP="00232C32">
      <w:pPr>
        <w:autoSpaceDE w:val="0"/>
        <w:spacing w:line="360" w:lineRule="auto"/>
        <w:ind w:right="44" w:firstLine="567"/>
        <w:jc w:val="both"/>
        <w:rPr>
          <w:rFonts w:ascii="Arial" w:hAnsi="Arial" w:cs="Arial"/>
          <w:sz w:val="22"/>
          <w:szCs w:val="22"/>
          <w:lang w:val="es-SV"/>
        </w:rPr>
      </w:pPr>
      <w:r w:rsidRPr="00201277">
        <w:rPr>
          <w:rFonts w:ascii="Arial" w:hAnsi="Arial" w:cs="Arial"/>
          <w:sz w:val="22"/>
          <w:szCs w:val="22"/>
          <w:lang w:val="es-SV"/>
        </w:rPr>
        <w:t>Es por lo tanto que como institución debe velar por los intereses nacionales vinculados a la navegación, al transporte marítimo y a los puertos, ejerciendo de esta manera un control efectivo; además tienen a cargo la fiscalización de la implementación del marco regulatorio y supervisar su cumplimiento.</w:t>
      </w:r>
    </w:p>
    <w:p w:rsidR="00197AA0" w:rsidRPr="00201277" w:rsidRDefault="00197AA0" w:rsidP="00232C32">
      <w:pPr>
        <w:autoSpaceDE w:val="0"/>
        <w:spacing w:line="360" w:lineRule="auto"/>
        <w:ind w:right="44" w:firstLine="567"/>
        <w:jc w:val="both"/>
        <w:rPr>
          <w:rFonts w:ascii="Arial" w:hAnsi="Arial" w:cs="Arial"/>
          <w:sz w:val="22"/>
          <w:szCs w:val="22"/>
          <w:lang w:val="es-SV"/>
        </w:rPr>
      </w:pP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2.4.2 CEPA</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CEPA ha sido otra institución que ha venido desempeñando un rol interesante y relevante en el desarrollo del Puerto de La Unión, es importante conocer ante todo la razón por la cual el Estado salvadoreño creó dicha institución, y sus principales competencias institucionales con las cuales fue diseñada.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De esta manera vale la pena conocer con mayor profundidad el desempeño de esta institución, ya que es un 28 de mayo de 1952, que el Estado salvadoreño decide crear la Comisión Ejecutiva del Puerto de Acajutla (CEPA), es así como los proyectos que estaban en marcha alcanzaron su primera meta en 1961, con la inauguración del Muelle </w:t>
      </w:r>
      <w:r w:rsidRPr="00201277">
        <w:rPr>
          <w:rFonts w:ascii="Arial" w:hAnsi="Arial" w:cs="Arial"/>
          <w:sz w:val="22"/>
          <w:szCs w:val="22"/>
        </w:rPr>
        <w:lastRenderedPageBreak/>
        <w:t>A</w:t>
      </w:r>
      <w:r w:rsidRPr="00201277">
        <w:rPr>
          <w:rStyle w:val="Refdenotaalpie"/>
          <w:rFonts w:ascii="Arial" w:hAnsi="Arial" w:cs="Arial"/>
          <w:sz w:val="22"/>
          <w:szCs w:val="22"/>
        </w:rPr>
        <w:footnoteReference w:id="165"/>
      </w:r>
      <w:r w:rsidRPr="00201277">
        <w:rPr>
          <w:rFonts w:ascii="Arial" w:hAnsi="Arial" w:cs="Arial"/>
          <w:sz w:val="22"/>
          <w:szCs w:val="22"/>
        </w:rPr>
        <w:t>. Su funcionamiento y administración fue todo un éxito y los intercambios comerciales y la competencia económica siguieron en aumento, obligando a diversificar los servicios. Por lo tanto ante esta demanda del tráfico portuario que iba en aumento, así como también el desarrollo que estaba alcanzando o logrando la Comisión Ejecutiva del Puerto de Acajutla; es así como el Gobierno decidió en ese entonces ampliarle las facultades de las cuales ya gozaba dicha comisión, concediéndole por lo tanto la función de poder administrar, explotar y direccionar los Ferrocarriles Nacionales de El Salvador (FENADESAL), incluido también el Puerto de Cutuco; por lo tanto paso a convertirse de esta manera en lo que hoy en la actualidad se conoce con el nombre de Comisión Ejecutiva Portuaria Autónoma, desde entonces es una institución de derecho público, con carácter autónomo y personalidad jurídica, que tiene a su cargo todas las atribuciones que su ley le concede.</w:t>
      </w:r>
    </w:p>
    <w:p w:rsidR="00197AA0" w:rsidRPr="00201277"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50" type="#_x0000_t202" style="position:absolute;left:0;text-align:left;margin-left:162.65pt;margin-top:126.5pt;width:48.4pt;height:21pt;z-index:251779072;mso-height-percent:200;mso-height-percent:200;mso-width-relative:margin;mso-height-relative:margin" fillcolor="white [3212]" stroked="f">
            <v:textbox style="mso-next-textbox:#_x0000_s1150;mso-fit-shape-to-text:t">
              <w:txbxContent>
                <w:p w:rsidR="00AC7D7B" w:rsidRDefault="00AC7D7B" w:rsidP="007467DF">
                  <w:r>
                    <w:t>102</w:t>
                  </w:r>
                </w:p>
              </w:txbxContent>
            </v:textbox>
          </v:shape>
        </w:pict>
      </w:r>
      <w:r w:rsidR="00197AA0" w:rsidRPr="00201277">
        <w:rPr>
          <w:rFonts w:ascii="Arial" w:hAnsi="Arial" w:cs="Arial"/>
          <w:sz w:val="22"/>
          <w:szCs w:val="22"/>
        </w:rPr>
        <w:t>En décadas posteriores CEPA siguió trabajando y ampliando los muelles, habilitando de esta manera lo que se conoce como muelle B y C en 1975. Desde entonces, se cuenta con 8 atracaderos que están distribuidos en los tres muelles antes mencionados. Ante esta buena labor que estaba desempeñando la comisión, el Gobierno de El Salvador, le concedió la oportunidad de construir, administrar y operar el Aeropuerto Internacional El Salvador</w:t>
      </w:r>
      <w:r w:rsidR="00197AA0" w:rsidRPr="00201277">
        <w:rPr>
          <w:rStyle w:val="Refdenotaalpie"/>
          <w:rFonts w:ascii="Arial" w:hAnsi="Arial" w:cs="Arial"/>
          <w:sz w:val="22"/>
          <w:szCs w:val="22"/>
        </w:rPr>
        <w:footnoteReference w:customMarkFollows="1" w:id="166"/>
        <w:sym w:font="Symbol" w:char="F02A"/>
      </w:r>
      <w:r w:rsidR="00197AA0" w:rsidRPr="00201277">
        <w:rPr>
          <w:rFonts w:ascii="Arial" w:hAnsi="Arial" w:cs="Arial"/>
          <w:sz w:val="22"/>
          <w:szCs w:val="22"/>
        </w:rPr>
        <w:t>.</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En la actualidad CEPA, es la responsable de la administración de los dos puertos comerciales del país que son: Acajutla y La Unión. Además las funciones se encuentran contempladas en su ley orgánica, más específicamente en el capítulo IV, artículo 4, tales son:</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rPr>
        <w:t xml:space="preserve">1.-CEPA está encargada en la construcción, </w:t>
      </w:r>
      <w:r w:rsidRPr="00201277">
        <w:rPr>
          <w:rFonts w:ascii="Arial" w:hAnsi="Arial" w:cs="Arial"/>
          <w:sz w:val="22"/>
          <w:szCs w:val="22"/>
          <w:lang w:val="es-SV"/>
        </w:rPr>
        <w:t>mantenimiento, mejoramiento y ampliación de las estructuras portuarias y ferroviarias, y demás instalaciones complementarias de éstas, existentes o futuras.</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2.- La dirección del anclaje, del servicio de prácticas de las maniobras de atraque, desatraque y amarre de las naves que entren o salgan de los puertos, de los barcos auxiliares, de los remolcadores, o de las gabarras que se utilicen para servir, auxiliar o aprovisionar a las mismas.</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lastRenderedPageBreak/>
        <w:t>3.- La dirección de la carga y descarga de las naves y los ferrocarriles, las decisiones sobre los horarios en que se prestarán los servicios, las jornadas de trabajo y el número de los empleados y trabajadores necesarios para la eficiencia del servicio.</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4.-  La recepción, entrega, transporte, almacenaje y el control del tránsito en las instalaciones portuarias y ferroviarias de mercaderías de importación y exportación, así como las que se transporten localmente por ferrocarril.</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5.-  Dictaminar sobre los proyectos de toda clase que se pretendan realizar en las zonas portuarias y ferroviarias.</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6.- Dictaminar sobre los proyectos de construcción, ampliación, financiamiento, explotación, régimen tarifario, laboral, de los puertos y sistemas ferroviarios existentes o que en el futuro se construyan en el país.</w:t>
      </w:r>
    </w:p>
    <w:p w:rsidR="00197AA0" w:rsidRPr="00201277" w:rsidRDefault="00197AA0" w:rsidP="00232C32">
      <w:pPr>
        <w:autoSpaceDE w:val="0"/>
        <w:spacing w:line="360" w:lineRule="auto"/>
        <w:ind w:right="44"/>
        <w:jc w:val="both"/>
        <w:rPr>
          <w:rFonts w:ascii="Arial" w:hAnsi="Arial" w:cs="Arial"/>
          <w:sz w:val="22"/>
          <w:szCs w:val="22"/>
          <w:lang w:val="es-SV"/>
        </w:rPr>
      </w:pPr>
      <w:r w:rsidRPr="00201277">
        <w:rPr>
          <w:rFonts w:ascii="Arial" w:hAnsi="Arial" w:cs="Arial"/>
          <w:sz w:val="22"/>
          <w:szCs w:val="22"/>
          <w:lang w:val="es-SV"/>
        </w:rPr>
        <w:t>7.- La custodia de las mercaderías depositadas en los puertos y estaciones del ferrocarril y sus demás instalaciones y patios habilitados.</w:t>
      </w:r>
    </w:p>
    <w:p w:rsidR="00197AA0"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49" type="#_x0000_t202" style="position:absolute;left:0;text-align:left;margin-left:193.4pt;margin-top:119.85pt;width:45pt;height:21pt;z-index:251778048;mso-height-percent:200;mso-height-percent:200;mso-width-relative:margin;mso-height-relative:margin" fillcolor="white [3212]" stroked="f">
            <v:textbox style="mso-next-textbox:#_x0000_s1149;mso-fit-shape-to-text:t">
              <w:txbxContent>
                <w:p w:rsidR="00AC7D7B" w:rsidRDefault="00AC7D7B" w:rsidP="007467DF">
                  <w:r>
                    <w:t>103</w:t>
                  </w:r>
                </w:p>
              </w:txbxContent>
            </v:textbox>
          </v:shape>
        </w:pict>
      </w:r>
      <w:r w:rsidR="00197AA0" w:rsidRPr="00201277">
        <w:rPr>
          <w:rFonts w:ascii="Arial" w:hAnsi="Arial" w:cs="Arial"/>
          <w:sz w:val="22"/>
          <w:szCs w:val="22"/>
        </w:rPr>
        <w:t xml:space="preserve">De acuerdo a las funciones que se le han sido otorgadas a dicha institución, se debe de considerar, la manera en la que esta misma ha actuado frente a la construcción del Puerto de La Unión, tomando en cuenta que CEPA ha sido la pionera desde un inicio en la construcción, mantenimiento, mejoramiento, y ampliación de la estructura con la que hoy cuenta el Puerto de La Unión, así como también será la encargada de dirigir los horarios en los que se prestará el servicio del puerto y al mismo tiempo de las jornadas laborales, junto con el número de trabajadores que la institución considere necesarios para obtener una mayor eficiencia del servicio que preste el Puerto de La Unión.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También resulta importante resaltar que durante el proceso de construcción, CEPA desarrolló un papel muy importante cuando se decidió cuál sería el consorcio destinado a realizar la construcción del Puerto, é</w:t>
      </w:r>
      <w:r w:rsidRPr="00201277">
        <w:rPr>
          <w:rFonts w:ascii="Arial" w:hAnsi="Arial" w:cs="Arial"/>
          <w:sz w:val="22"/>
          <w:szCs w:val="22"/>
          <w:lang w:val="es-ES_tradnl"/>
        </w:rPr>
        <w:t>sto</w:t>
      </w:r>
      <w:r w:rsidRPr="00201277">
        <w:rPr>
          <w:rFonts w:ascii="Arial" w:hAnsi="Arial" w:cs="Arial"/>
          <w:sz w:val="22"/>
          <w:szCs w:val="22"/>
        </w:rPr>
        <w:t xml:space="preserve"> se trabajó con  la empresa Toa Corporation Jan De Nul, con la cual se entabló un proceso de negociación con el mencionado consorcio que finalizó el 15 de diciembre de 2004, en el cual CEPA logró llegar a establecer una oferta final de 131,985,000.00.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CEPA también ha estado desarrollando diversas reuniones con distintos sectores, tanto en el ámbito regional como nacional, con el objetivo de mantener informada la población de cómo marcha la ejecución del proyecto de La Unión. Además CEPA involucró a pobladores del departamento de La Unión, quienes se beneficiaron con la </w:t>
      </w:r>
      <w:r w:rsidRPr="00201277">
        <w:rPr>
          <w:rFonts w:ascii="Arial" w:hAnsi="Arial" w:cs="Arial"/>
          <w:sz w:val="22"/>
          <w:szCs w:val="22"/>
        </w:rPr>
        <w:lastRenderedPageBreak/>
        <w:t xml:space="preserve">contratación de mano de obra para el desarrollo de dichas actividades. Recientemente CEPA y la Corporación Financiera Internacional del Banco Mundial, (IFC) por sus siglas en inglés, firmaron el 29 de abril de 2010, un contrato de asesoría especializada para la estructuración e implementación de un esquema que logre atraer la participación de un operador portuario de clase mundial, a fin de que contribuya a posicionar los Puertos de Acajutla y La Unión a nivel internacional. </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Considerando lo anteriormente mencionado, CEPA está actualmente desarrollando junto con IFC, una serie de estudios técnicos, financieros y legales, todo con el objetivo de crear un marco regulatorio apropiado para el sistema portuario salvadoreño.</w:t>
      </w:r>
    </w:p>
    <w:p w:rsidR="00197AA0" w:rsidRPr="00201277" w:rsidRDefault="00197AA0" w:rsidP="00232C32">
      <w:pPr>
        <w:spacing w:line="360" w:lineRule="auto"/>
        <w:ind w:right="44"/>
        <w:jc w:val="both"/>
        <w:rPr>
          <w:rFonts w:ascii="Arial" w:hAnsi="Arial" w:cs="Arial"/>
          <w:sz w:val="22"/>
          <w:szCs w:val="22"/>
        </w:rPr>
      </w:pP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2.4.3 GOBIERNO CENTRAL</w:t>
      </w:r>
    </w:p>
    <w:p w:rsidR="00197AA0" w:rsidRDefault="00197AA0" w:rsidP="00232C32">
      <w:pPr>
        <w:spacing w:line="360" w:lineRule="auto"/>
        <w:ind w:right="44" w:firstLine="567"/>
        <w:jc w:val="both"/>
        <w:rPr>
          <w:rFonts w:ascii="Arial" w:hAnsi="Arial" w:cs="Arial"/>
          <w:sz w:val="22"/>
          <w:szCs w:val="22"/>
        </w:rPr>
      </w:pPr>
    </w:p>
    <w:p w:rsidR="00197AA0" w:rsidRPr="00201277"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52" type="#_x0000_t202" style="position:absolute;left:0;text-align:left;margin-left:179.65pt;margin-top:119.85pt;width:48.4pt;height:21pt;z-index:251781120;mso-height-percent:200;mso-height-percent:200;mso-width-relative:margin;mso-height-relative:margin" fillcolor="white [3212]" stroked="f">
            <v:textbox style="mso-next-textbox:#_x0000_s1152;mso-fit-shape-to-text:t">
              <w:txbxContent>
                <w:p w:rsidR="00AC7D7B" w:rsidRDefault="00AC7D7B" w:rsidP="007467DF">
                  <w:r>
                    <w:t>104</w:t>
                  </w:r>
                </w:p>
              </w:txbxContent>
            </v:textbox>
          </v:shape>
        </w:pict>
      </w:r>
      <w:r w:rsidR="00197AA0" w:rsidRPr="00201277">
        <w:rPr>
          <w:rFonts w:ascii="Arial" w:hAnsi="Arial" w:cs="Arial"/>
          <w:sz w:val="22"/>
          <w:szCs w:val="22"/>
        </w:rPr>
        <w:t>Al igual que la AMP y CEPA, el Gobierno Central ha realizado una serie de iniciativas frente al desarrollo portuario de La Unión. Este actor ha tenido un rol importante desde el inicio de la construcción y gestión del Puerto, cabe destacar que este comenzó a gestarse en el año de 1994 durante el Gobierno de Armando Calderón Sol</w:t>
      </w:r>
      <w:r w:rsidR="00197AA0" w:rsidRPr="00201277">
        <w:rPr>
          <w:rStyle w:val="Refdenotaalpie"/>
          <w:rFonts w:ascii="Arial" w:hAnsi="Arial" w:cs="Arial"/>
          <w:sz w:val="22"/>
          <w:szCs w:val="22"/>
        </w:rPr>
        <w:footnoteReference w:customMarkFollows="1" w:id="167"/>
        <w:sym w:font="Symbol" w:char="F02A"/>
      </w:r>
      <w:r w:rsidR="00197AA0" w:rsidRPr="00201277">
        <w:rPr>
          <w:rStyle w:val="Smbolodenotaalpie"/>
          <w:rFonts w:ascii="Arial" w:hAnsi="Arial" w:cs="Arial"/>
          <w:sz w:val="22"/>
          <w:szCs w:val="22"/>
        </w:rPr>
        <w:t xml:space="preserve"> </w:t>
      </w:r>
      <w:r w:rsidR="00197AA0" w:rsidRPr="00201277">
        <w:rPr>
          <w:rFonts w:ascii="Arial" w:hAnsi="Arial" w:cs="Arial"/>
          <w:sz w:val="22"/>
          <w:szCs w:val="22"/>
        </w:rPr>
        <w:t xml:space="preserve">mismo período en el cual se realizó el primer estudio de pre factibilidad con el apoyo del JICA; ya para el mes de marzo de 1999 se tenía finalizado dicho estudio, con el que se aseguraba que el puerto era viable y seguro.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El 25 de octubre de 2001, la </w:t>
      </w:r>
      <w:hyperlink r:id="rId74" w:history="1">
        <w:r w:rsidRPr="00201277">
          <w:rPr>
            <w:rStyle w:val="Hipervnculo"/>
            <w:rFonts w:ascii="Arial" w:hAnsi="Arial" w:cs="Arial"/>
            <w:color w:val="auto"/>
            <w:sz w:val="22"/>
            <w:szCs w:val="22"/>
            <w:u w:val="none"/>
          </w:rPr>
          <w:t>Asamblea Legislativa</w:t>
        </w:r>
      </w:hyperlink>
      <w:r w:rsidRPr="00201277">
        <w:rPr>
          <w:rFonts w:ascii="Arial" w:hAnsi="Arial" w:cs="Arial"/>
          <w:sz w:val="22"/>
          <w:szCs w:val="22"/>
        </w:rPr>
        <w:t xml:space="preserve"> autorizó suscribir el convenio de préstamo entre El Salvador y el Banco de Cooperación Internacional del </w:t>
      </w:r>
      <w:hyperlink r:id="rId75" w:history="1">
        <w:r w:rsidRPr="00201277">
          <w:rPr>
            <w:rStyle w:val="Hipervnculo"/>
            <w:rFonts w:ascii="Arial" w:hAnsi="Arial" w:cs="Arial"/>
            <w:color w:val="auto"/>
            <w:sz w:val="22"/>
            <w:szCs w:val="22"/>
            <w:u w:val="none"/>
          </w:rPr>
          <w:t>Japón</w:t>
        </w:r>
      </w:hyperlink>
      <w:r w:rsidRPr="00201277">
        <w:rPr>
          <w:rFonts w:ascii="Arial" w:hAnsi="Arial" w:cs="Arial"/>
          <w:sz w:val="22"/>
          <w:szCs w:val="22"/>
        </w:rPr>
        <w:t xml:space="preserve"> (JBIC), que fue ratificado el 18 de diciembre del mismo año. En noviembre de 2002 ya se había publicado una invitación internacional para la precalificación de empresas para la construcción del proyecto, en total 53 empresas compraron documentos de precalificación. Cabe destacar que algunas de las empresas precalificadas fueron los consorcios Toa Corporation Jan de Nul, Penta Ocean Hazama y la empresa Wakachiku Construction Co, quienes presentaron sus ofertas técnicas y económicas el 16 de abril de 2004. El 21 de mayo de 2004, CEPA remitió al JBIC los resultados del reporte de evaluación final de las ofertas con el consorcio Toa Corporation Jan de Nul, el cual presentó la oferta con valor más bajo de $145,768,313.28. De esta manera se procedió a </w:t>
      </w:r>
      <w:r w:rsidRPr="00201277">
        <w:rPr>
          <w:rFonts w:ascii="Arial" w:hAnsi="Arial" w:cs="Arial"/>
          <w:sz w:val="22"/>
          <w:szCs w:val="22"/>
        </w:rPr>
        <w:lastRenderedPageBreak/>
        <w:t xml:space="preserve">la negociación, la cual dio inicio el 19 de julio de 2004 y finalizó el 15 de diciembre de 2004, y se estableció una oferta final de $131,985,000.00.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 xml:space="preserve">Para el año del 2005 el Gobierno salvadoreño dio inicio en compañía del Presidente de la República, Antonio Saca González y otros Presidentes centroamericanos, el nuevo proceso para la construcción del Puerto de La Unión, proyecto que fue lanzado desde un inicio como el proyecto de infraestructura portuaria más importante de los últimos 20 años, a partir del cual el Gobierno ha pretendido impulsar como estrategia de despegue llevando un progreso en toda la Zona Oriental del país.  </w:t>
      </w:r>
    </w:p>
    <w:p w:rsidR="00197AA0" w:rsidRPr="00201277" w:rsidRDefault="00197AA0" w:rsidP="00232C32">
      <w:pPr>
        <w:pStyle w:val="NormalWeb"/>
        <w:spacing w:line="360" w:lineRule="auto"/>
        <w:ind w:right="44" w:firstLine="567"/>
        <w:jc w:val="both"/>
        <w:rPr>
          <w:rFonts w:ascii="Arial" w:hAnsi="Arial" w:cs="Arial"/>
          <w:sz w:val="22"/>
          <w:szCs w:val="22"/>
        </w:rPr>
      </w:pPr>
      <w:r w:rsidRPr="00201277">
        <w:rPr>
          <w:rFonts w:ascii="Arial" w:hAnsi="Arial" w:cs="Arial"/>
          <w:sz w:val="22"/>
          <w:szCs w:val="22"/>
        </w:rPr>
        <w:t>A partir de esto se ha venido impulsando a largo plazo al Puerto de La Unión como un motor de desarrollo en el Oriente del país, convirtiendo a El Salvador en un centro logístico de distribución regional, suscribiendo así por el Presidente de CEPA,  licenciado Juan José Llort y el señor Hiroshi Shrasu, Vicepresidente de la corporación Toa.</w:t>
      </w:r>
    </w:p>
    <w:p w:rsidR="00197AA0" w:rsidRPr="00201277" w:rsidRDefault="001D7573" w:rsidP="00232C32">
      <w:pPr>
        <w:pStyle w:val="NormalWeb"/>
        <w:spacing w:line="360" w:lineRule="auto"/>
        <w:ind w:right="44" w:firstLine="567"/>
        <w:jc w:val="both"/>
        <w:rPr>
          <w:rFonts w:ascii="Arial" w:hAnsi="Arial" w:cs="Arial"/>
          <w:sz w:val="22"/>
          <w:szCs w:val="22"/>
        </w:rPr>
      </w:pPr>
      <w:r>
        <w:rPr>
          <w:rFonts w:ascii="Arial" w:hAnsi="Arial" w:cs="Arial"/>
          <w:noProof/>
          <w:sz w:val="22"/>
          <w:szCs w:val="22"/>
        </w:rPr>
        <w:pict>
          <v:shape id="_x0000_s1151" type="#_x0000_t202" style="position:absolute;left:0;text-align:left;margin-left:203.85pt;margin-top:101.8pt;width:45pt;height:21pt;z-index:251780096;mso-height-percent:200;mso-height-percent:200;mso-width-relative:margin;mso-height-relative:margin" fillcolor="white [3212]" stroked="f">
            <v:textbox style="mso-next-textbox:#_x0000_s1151;mso-fit-shape-to-text:t">
              <w:txbxContent>
                <w:p w:rsidR="00AC7D7B" w:rsidRDefault="00AC7D7B" w:rsidP="007467DF">
                  <w:r>
                    <w:t>105</w:t>
                  </w:r>
                </w:p>
              </w:txbxContent>
            </v:textbox>
          </v:shape>
        </w:pict>
      </w:r>
      <w:r w:rsidR="00197AA0" w:rsidRPr="00201277">
        <w:rPr>
          <w:rFonts w:ascii="Arial" w:hAnsi="Arial" w:cs="Arial"/>
          <w:sz w:val="22"/>
          <w:szCs w:val="22"/>
        </w:rPr>
        <w:t>El contrato contempla todos los lineamientos y estándares requeridos por CEPA para la realización de la obra. “Estamos a las puertas del más importante proyecto de infraestructura que El Salvador ha tenido en los últimos veinte años, y que vamos a concretar luego de más de diez años de ardua labor”, dijo en aquella oportunidad el Presidente de CEPA, Juan José Llort.</w:t>
      </w: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Concretamente el Gobierno Central ha ejercido un papel de promotor de la construcción, administración, explotación, del Puerto la Unión, como se ha venido describiendo a lo largo de este apartado. A lo largo de la etapa de gestión y ejecución tuvo un rol muy importante ya que fue el consiguió el préstamo con el JBIC, para poder obtener los fondos necesarios y de esta manera llevar a cabo el megaproyecto que se tenía en mente. También resulta importante mencionar el hecho de que ahora en la actualidad, cuando ya la obra de construcción ya está finalizada, el Estado Salvadoreño, junto con CEPA y la Corporación Financiera Internacional (IFC) del Banco Mundial, firmaron un contrato el 20 de abril del presente año, con el objetivo de obtener una asesoría especializada para la estructuración e implementación de un esquema que logre atraer la participación de un operador portuario de clase mundial a fin de que contribuya a posicionar los puertos de Acajutla y La Unión a nivel internacional. </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Style w:val="noticiagris"/>
          <w:sz w:val="22"/>
          <w:szCs w:val="22"/>
        </w:rPr>
      </w:pPr>
      <w:r w:rsidRPr="00201277">
        <w:rPr>
          <w:rStyle w:val="noticiagris"/>
          <w:rFonts w:ascii="Arial" w:hAnsi="Arial" w:cs="Arial"/>
          <w:sz w:val="22"/>
          <w:szCs w:val="22"/>
        </w:rPr>
        <w:lastRenderedPageBreak/>
        <w:t>Este proyecto, es parte integral de los esfuerzos del Gobierno para incrementar la competitividad de El Salvador, a fin de mejorar la calidad de servicios portuarios, asegurando su seguridad, incrementando su eficiencia y productividad para que El Salvador se consolide como un centro logístico de distribución regional, creando oportunidades de empleo y promoviendo el desarrollo económico y social del país.</w:t>
      </w:r>
    </w:p>
    <w:p w:rsidR="00197AA0" w:rsidRPr="00201277" w:rsidRDefault="00197AA0" w:rsidP="00232C32">
      <w:pPr>
        <w:spacing w:line="360" w:lineRule="auto"/>
        <w:ind w:right="44"/>
        <w:jc w:val="both"/>
        <w:rPr>
          <w:b/>
          <w:sz w:val="22"/>
          <w:szCs w:val="22"/>
        </w:rPr>
      </w:pP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2.5 Conclusión</w:t>
      </w:r>
    </w:p>
    <w:p w:rsidR="00197AA0"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54" type="#_x0000_t202" style="position:absolute;left:0;text-align:left;margin-left:211.05pt;margin-top:207.4pt;width:48.4pt;height:21pt;z-index:251783168;mso-height-percent:200;mso-height-percent:200;mso-width-relative:margin;mso-height-relative:margin" fillcolor="white [3212]" stroked="f">
            <v:textbox style="mso-next-textbox:#_x0000_s1154;mso-fit-shape-to-text:t">
              <w:txbxContent>
                <w:p w:rsidR="00AC7D7B" w:rsidRDefault="00AC7D7B" w:rsidP="007467DF">
                  <w:r>
                    <w:t>106</w:t>
                  </w:r>
                </w:p>
              </w:txbxContent>
            </v:textbox>
          </v:shape>
        </w:pict>
      </w:r>
      <w:r w:rsidR="00197AA0" w:rsidRPr="00201277">
        <w:rPr>
          <w:rFonts w:ascii="Arial" w:hAnsi="Arial" w:cs="Arial"/>
          <w:sz w:val="22"/>
          <w:szCs w:val="22"/>
        </w:rPr>
        <w:t>El Salvador ha presentado en alguna medida avances en materia portuaria, ya que ha generado las condiciones necesarias para impulsar el desarrollo portuario en el Puerto de La Unión, debido a que como país se ha buscado satisfacer las necesidades con el objetivo de estimular el crecimiento económico de los diferentes sectores del país, de esta manera se ha dado paso con el tiempo a un mayor impulso de un desarrollo portuario. La historia portuaria de El Salvador se ha desarrollado en los años cincuenta, en los Puertos de Acajutla, La Libertad y La Unión. Este último ha sido el que ha vuelto a reabrir operaciones, el cual en épocas anteriores cerró operaciones debido a crisis internas, existía un conflicto armado justo cuando el desarrollo portuario en dicha terminal florecía con gran fluidez, mostrando en cierta forma fracaso en los proyectos de aquel entonces. Dado al creciente interés que se generó nuevamente en la zona del Golfo de Fonseca en 1994 se empieza a diseñar el proyecto del Puerto de La Unión, que hoy por hoy es el proyecto marítimo más importante de los últimos veinte años en El Salvador.</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Sin embargo,  es necesario aclarar que el desarrollo portuario de El Salvador en la zona del Golfo de Fonseca, no debe quedarse limitado con sólo contar con una muy buena infraestructura portuaria, ni constituirse como el centro de logística internacional al que se ha apostado, sino también es importante contar con una serie de factores que deben ser tomados en cuenta para lograr verdaderamente lo que se concibe como un desarrollo portuario, factores que abonen de manera positiva a una serie de aspectos claves en materia de preservación del medio marino; que aboguen por evitar la contaminación producida por hidrocarburos, tales son el fortalecimiento de un marco institucional para elaborar propuestas que conlleven a la instauración de un sistema eficiente,  efectivo y ágil, capaz de producir personal capacitado en la materia como por ejemplo marinos y profesionales marítimos de excelente calidad, asegurando así su colocación en las diferentes compañías navieras, especialmente en la industria de </w:t>
      </w:r>
      <w:r w:rsidRPr="00201277">
        <w:rPr>
          <w:rFonts w:ascii="Arial" w:hAnsi="Arial" w:cs="Arial"/>
          <w:sz w:val="22"/>
          <w:szCs w:val="22"/>
        </w:rPr>
        <w:lastRenderedPageBreak/>
        <w:t xml:space="preserve">cruceros y en las demás ramas marítimas portuarias. Debido a que al contar con el personal tecnificado y calificado hace que se posibilite un desarrollo integral a mayor escala, donde la infraestructura y la mano de obra sean acorde a los estándares internacionales. </w:t>
      </w:r>
    </w:p>
    <w:p w:rsidR="00197AA0"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53" type="#_x0000_t202" style="position:absolute;left:0;text-align:left;margin-left:203.85pt;margin-top:248.75pt;width:45pt;height:21pt;z-index:251782144;mso-height-percent:200;mso-height-percent:200;mso-width-relative:margin;mso-height-relative:margin" fillcolor="white [3212]" stroked="f">
            <v:textbox style="mso-next-textbox:#_x0000_s1153;mso-fit-shape-to-text:t">
              <w:txbxContent>
                <w:p w:rsidR="00AC7D7B" w:rsidRDefault="00AC7D7B" w:rsidP="007467DF">
                  <w:r>
                    <w:t>107</w:t>
                  </w:r>
                </w:p>
              </w:txbxContent>
            </v:textbox>
          </v:shape>
        </w:pict>
      </w:r>
      <w:r w:rsidR="00197AA0" w:rsidRPr="00201277">
        <w:rPr>
          <w:rFonts w:ascii="Arial" w:hAnsi="Arial" w:cs="Arial"/>
          <w:sz w:val="22"/>
          <w:szCs w:val="22"/>
        </w:rPr>
        <w:t>El proyecto del Puerto de La Unión debe de responder a las necesidades que como país se pretenden cumplir, empero, parte de esas necesidades estriba en el hecho de contar con propuestas efectivas que velen porque se cuente con los mecanismos y técnicas necesarias para poder hacer frente a una posible  contaminación por hidrocarburos. Es así como las instituciones competentes del Gobierno Central como lo son la AMP, y CEPA, deben lograr gestar las herramientas necesarias para crear condiciones óptimas para el desarrollo portuario y que tal desarrollo contemple acciones que impulsen la tecnificación del personal del Puerto de La Unión. El rol de estas instituciones, es de crucial importancia, dado que deben de caracterizarse por mantener una buena coordinación y al mismo tiempo coincidir en una óptima administración conjunta, de lo contrario los esfuerzos realizados, la inversión económica, política, social y humana que se ha realizado no irá en concordancia con las visiones positivas que dichas instancias han proyectado para la terminal marítima de La Unión. De ahí que El Salvador eventualmente se puede convertir en una plataforma logística, como ejemplo para la región centroamericana en un primer momento y consecuentemente  a nivel internacional.</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En este mismo marco sería recomendable que El Salvador se adhiera y ratifique el Convenio STCW, convenio que responde a la seguridad de la gente de mar, y que también beneficiaría la certificación de escuelas de marinos para poder contar con marinos especializados en la materia, esto si se busca que El Salvador se embarque en un escenario competitivo. Al mismo tiempo poder contar con personal especializado, serviría de gran manera para impulsar un desarrollo portuario, ya que es en esta área donde se tiene un gran vacío. Así mismo resulta importante que El Salvador logre mejorar en los aspectos de hidrografía y cartografía, para que de esta manera se puedan elaborar por meritos propios, las cartas náuticas y de esta manera eliminar un poco la dependencia de la Agencia Nacional de Imágenes y Cartografía (NIMA) de los Estados Unidos.</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663A0A" w:rsidRDefault="00663A0A" w:rsidP="00232C32">
      <w:pPr>
        <w:spacing w:line="360" w:lineRule="auto"/>
        <w:ind w:right="44" w:firstLine="567"/>
        <w:jc w:val="both"/>
        <w:rPr>
          <w:rFonts w:ascii="Arial" w:hAnsi="Arial" w:cs="Arial"/>
          <w:sz w:val="22"/>
          <w:szCs w:val="22"/>
        </w:rPr>
      </w:pPr>
    </w:p>
    <w:p w:rsidR="00663A0A" w:rsidRDefault="00663A0A" w:rsidP="00232C32">
      <w:pPr>
        <w:spacing w:line="360" w:lineRule="auto"/>
        <w:ind w:right="44" w:firstLine="567"/>
        <w:jc w:val="both"/>
        <w:rPr>
          <w:rFonts w:ascii="Arial" w:hAnsi="Arial" w:cs="Arial"/>
          <w:sz w:val="22"/>
          <w:szCs w:val="22"/>
        </w:rPr>
      </w:pPr>
    </w:p>
    <w:p w:rsidR="00663A0A" w:rsidRDefault="00663A0A" w:rsidP="00232C32">
      <w:pPr>
        <w:spacing w:line="360" w:lineRule="auto"/>
        <w:ind w:right="44" w:firstLine="567"/>
        <w:jc w:val="both"/>
        <w:rPr>
          <w:rFonts w:ascii="Arial" w:hAnsi="Arial" w:cs="Arial"/>
          <w:sz w:val="22"/>
          <w:szCs w:val="22"/>
        </w:rPr>
      </w:pPr>
    </w:p>
    <w:p w:rsidR="00663A0A" w:rsidRDefault="00663A0A" w:rsidP="00232C32">
      <w:pPr>
        <w:spacing w:line="360" w:lineRule="auto"/>
        <w:ind w:right="44" w:firstLine="567"/>
        <w:jc w:val="both"/>
        <w:rPr>
          <w:rFonts w:ascii="Arial" w:hAnsi="Arial" w:cs="Arial"/>
          <w:sz w:val="22"/>
          <w:szCs w:val="22"/>
        </w:rPr>
      </w:pPr>
    </w:p>
    <w:p w:rsidR="00663A0A" w:rsidRDefault="00663A0A" w:rsidP="00232C32">
      <w:pPr>
        <w:spacing w:line="360" w:lineRule="auto"/>
        <w:ind w:right="44" w:firstLine="567"/>
        <w:jc w:val="both"/>
        <w:rPr>
          <w:rFonts w:ascii="Arial" w:hAnsi="Arial" w:cs="Arial"/>
          <w:sz w:val="22"/>
          <w:szCs w:val="22"/>
        </w:rPr>
      </w:pPr>
    </w:p>
    <w:p w:rsidR="00197AA0" w:rsidRPr="00201277"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56" type="#_x0000_t202" style="position:absolute;left:0;text-align:left;margin-left:174.05pt;margin-top:74.15pt;width:48.4pt;height:21pt;z-index:251785216;mso-height-percent:200;mso-height-percent:200;mso-width-relative:margin;mso-height-relative:margin" fillcolor="white [3212]" stroked="f">
            <v:textbox style="mso-next-textbox:#_x0000_s1156;mso-fit-shape-to-text:t">
              <w:txbxContent>
                <w:p w:rsidR="00AC7D7B" w:rsidRDefault="00AC7D7B" w:rsidP="007467DF">
                  <w:r>
                    <w:t>108</w:t>
                  </w:r>
                </w:p>
              </w:txbxContent>
            </v:textbox>
          </v:shape>
        </w:pict>
      </w:r>
    </w:p>
    <w:p w:rsidR="00197AA0"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CAPITULO III: PERSPECTIVAS DE CONTAMINACIÓN MARÍNA POR HIDROCARBUROS EN EL PUERTO DE LA UNIÓN FRENTE A UN MAYOR DESARROLLO PORTUARIO</w:t>
      </w:r>
    </w:p>
    <w:p w:rsidR="00197AA0" w:rsidRPr="00201277" w:rsidRDefault="00197AA0" w:rsidP="00232C32">
      <w:pPr>
        <w:spacing w:line="360" w:lineRule="auto"/>
        <w:ind w:right="44"/>
        <w:jc w:val="both"/>
        <w:rPr>
          <w:rFonts w:ascii="Arial" w:hAnsi="Arial" w:cs="Arial"/>
          <w:b/>
          <w:sz w:val="22"/>
          <w:szCs w:val="22"/>
        </w:rPr>
      </w:pPr>
    </w:p>
    <w:p w:rsidR="00197AA0"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Desde el inicio de la construcción del Puerto de La Unión, se han generado grandes expectativas por parte de los medios de comunicación y, de igual forma, a través de las instituciones competentes en esta materia, es decir aquellas instituciones estatales, tales como la AMP y CEPA, que al mismo tiempo han venido impulsando al Puerto de La Unión como un gran polo de desarrollo que llevará al país a una serie de  beneficios.</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Así como también se ha hablado de una amplia gama de posibilidades de desarrollo que se esperan que surjan cuando el puerto se encuentre trabajando ya con un mayor flujo comercial marítimo. Es importante mencionar que El Salvador se encuentra lanzando uno de los puertos más importantes no sólo del país, sino también, de la región centroamericana; debido a que el Estado Salvadoreño ha invertido en dicho proyecto alrededor de doscientos millones de dólares, cuestión que responde a la importancia y a las grandes expectativas que se esperan de un puerto como el de La Unión. Pero su relevancia se deriva también, del hecho de ser el único puerto de Centroamérica que puede recibir buques de grandes dimensiones en comparación con los otros puertos de la </w:t>
      </w:r>
      <w:r w:rsidRPr="00201277">
        <w:rPr>
          <w:rFonts w:ascii="Arial" w:hAnsi="Arial" w:cs="Arial"/>
          <w:sz w:val="22"/>
          <w:szCs w:val="22"/>
        </w:rPr>
        <w:lastRenderedPageBreak/>
        <w:t>región centroamericana. También cabe resaltar que el Puerto de La Unión, está diseñado y capacitado para recibir buques de gran calado como un buque Post Pánamax, que incluso ni en los otros principales puertos de Centroamérica podrán transitar.</w:t>
      </w:r>
    </w:p>
    <w:p w:rsidR="00197AA0" w:rsidRPr="00201277" w:rsidRDefault="00197AA0" w:rsidP="00232C32">
      <w:pPr>
        <w:spacing w:line="360" w:lineRule="auto"/>
        <w:ind w:right="44" w:firstLine="567"/>
        <w:jc w:val="both"/>
        <w:rPr>
          <w:rFonts w:ascii="Arial" w:hAnsi="Arial" w:cs="Arial"/>
          <w:sz w:val="22"/>
          <w:szCs w:val="22"/>
        </w:rPr>
      </w:pPr>
    </w:p>
    <w:p w:rsidR="00197AA0" w:rsidRPr="00201277" w:rsidRDefault="00197AA0" w:rsidP="00232C32">
      <w:pPr>
        <w:spacing w:line="360" w:lineRule="auto"/>
        <w:ind w:right="44" w:firstLine="567"/>
        <w:jc w:val="both"/>
        <w:rPr>
          <w:rFonts w:ascii="Arial" w:hAnsi="Arial" w:cs="Arial"/>
          <w:sz w:val="22"/>
          <w:szCs w:val="22"/>
        </w:rPr>
      </w:pPr>
      <w:r w:rsidRPr="00201277">
        <w:rPr>
          <w:rFonts w:ascii="Arial" w:hAnsi="Arial" w:cs="Arial"/>
          <w:sz w:val="22"/>
          <w:szCs w:val="22"/>
        </w:rPr>
        <w:t xml:space="preserve">De acuerdo a este breve esbozo, es interesante analizar dentro de este tercer capítulo con mucha más profundidad y en base a una serie de diálogos establecidos con ejecutivos de CEPA, como el sostenido con el Ing. Abelino Cruz y el Gerente del Puerto de la Unión, Ing. Milton Lacayo, las perspectivas de contaminación marina por hidrocarburo que resultarán frente a la actividad cotidiana de los buques que transitarán en la zona, aunado a la construcción de la terminal de hidrocarburo que generará aún mayor contaminación.  </w:t>
      </w:r>
    </w:p>
    <w:p w:rsidR="00197AA0" w:rsidRPr="00201277"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p>
    <w:p w:rsidR="00197AA0" w:rsidRPr="00201277"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55" type="#_x0000_t202" style="position:absolute;left:0;text-align:left;margin-left:196.45pt;margin-top:51.6pt;width:45pt;height:21pt;z-index:251784192;mso-height-percent:200;mso-height-percent:200;mso-width-relative:margin;mso-height-relative:margin" fillcolor="white [3212]" stroked="f">
            <v:textbox style="mso-next-textbox:#_x0000_s1155;mso-fit-shape-to-text:t">
              <w:txbxContent>
                <w:p w:rsidR="00AC7D7B" w:rsidRDefault="00AC7D7B" w:rsidP="007467DF">
                  <w:r>
                    <w:t>109</w:t>
                  </w:r>
                </w:p>
              </w:txbxContent>
            </v:textbox>
          </v:shape>
        </w:pict>
      </w:r>
    </w:p>
    <w:p w:rsidR="00197AA0" w:rsidRPr="00201277" w:rsidRDefault="00197AA0" w:rsidP="00232C32">
      <w:pPr>
        <w:spacing w:line="360" w:lineRule="auto"/>
        <w:ind w:right="44"/>
        <w:jc w:val="both"/>
        <w:rPr>
          <w:rFonts w:ascii="Arial" w:hAnsi="Arial" w:cs="Arial"/>
          <w:b/>
          <w:sz w:val="22"/>
          <w:szCs w:val="22"/>
        </w:rPr>
      </w:pPr>
      <w:r w:rsidRPr="00201277">
        <w:rPr>
          <w:rFonts w:ascii="Arial" w:hAnsi="Arial" w:cs="Arial"/>
          <w:b/>
          <w:sz w:val="22"/>
          <w:szCs w:val="22"/>
        </w:rPr>
        <w:t>3.1 Tipos de buques que transitarán en el Puerto de La Unión y movimiento de contenedores en el primer decenio del siglo XXI</w:t>
      </w:r>
    </w:p>
    <w:p w:rsidR="00197AA0" w:rsidRPr="00201277" w:rsidRDefault="00197AA0" w:rsidP="00232C32">
      <w:pPr>
        <w:spacing w:line="360" w:lineRule="auto"/>
        <w:ind w:right="44"/>
        <w:jc w:val="both"/>
        <w:rPr>
          <w:rFonts w:ascii="Arial" w:hAnsi="Arial" w:cs="Arial"/>
          <w:b/>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201277">
        <w:rPr>
          <w:rFonts w:ascii="Arial" w:hAnsi="Arial" w:cs="Arial"/>
          <w:color w:val="000000"/>
          <w:sz w:val="22"/>
          <w:szCs w:val="22"/>
        </w:rPr>
        <w:t>Por primera vez El Salvador realiza una construcción de un puerto con la capacidad de recibir buques de grandes dimensiones como lo son los buques Post Pánamax, convirtiéndose el Puerto de la Unión en el primero a nivel centroamericano en contar con este tipo de infraestructura, la cual permitirá recibir embarcaciones de grandes dimensiones y calados. En efecto, en el Puerto La Unión podrán transitar buques Pánamax y Post Pánamax que movilicen hasta 8,000 TEU's</w:t>
      </w:r>
      <w:r w:rsidRPr="00201277">
        <w:rPr>
          <w:rStyle w:val="Refdenotaalpie"/>
          <w:rFonts w:ascii="Arial" w:hAnsi="Arial" w:cs="Arial"/>
          <w:color w:val="000000"/>
          <w:sz w:val="22"/>
          <w:szCs w:val="22"/>
        </w:rPr>
        <w:footnoteReference w:id="168"/>
      </w:r>
      <w:r w:rsidRPr="00201277">
        <w:rPr>
          <w:rFonts w:ascii="Arial" w:hAnsi="Arial" w:cs="Arial"/>
          <w:color w:val="000000"/>
          <w:sz w:val="22"/>
          <w:szCs w:val="22"/>
        </w:rPr>
        <w:t>.</w:t>
      </w:r>
    </w:p>
    <w:p w:rsidR="00197AA0" w:rsidRPr="00201277" w:rsidRDefault="00197AA0" w:rsidP="00232C32">
      <w:pPr>
        <w:spacing w:line="360" w:lineRule="auto"/>
        <w:ind w:right="44" w:firstLine="567"/>
        <w:jc w:val="both"/>
        <w:rPr>
          <w:rFonts w:ascii="Arial" w:hAnsi="Arial" w:cs="Arial"/>
          <w:color w:val="000000"/>
          <w:sz w:val="22"/>
          <w:szCs w:val="22"/>
        </w:rPr>
      </w:pPr>
    </w:p>
    <w:p w:rsidR="00197AA0" w:rsidRPr="00201277" w:rsidRDefault="00197AA0" w:rsidP="00232C32">
      <w:pPr>
        <w:pStyle w:val="Standard"/>
        <w:spacing w:line="360" w:lineRule="auto"/>
        <w:ind w:right="44" w:firstLine="567"/>
        <w:jc w:val="both"/>
        <w:rPr>
          <w:rFonts w:ascii="Arial" w:hAnsi="Arial" w:cs="Arial"/>
          <w:color w:val="000000"/>
          <w:sz w:val="22"/>
          <w:szCs w:val="22"/>
        </w:rPr>
      </w:pPr>
      <w:r w:rsidRPr="00201277">
        <w:rPr>
          <w:rFonts w:ascii="Arial" w:hAnsi="Arial" w:cs="Arial"/>
          <w:color w:val="000000"/>
          <w:sz w:val="22"/>
          <w:szCs w:val="22"/>
        </w:rPr>
        <w:t xml:space="preserve"> Después de lo anterior expuesto, se considera conveniente e importante destacar  que como se está tratando con un puerto especializado en el área del recibimiento y tratamiento de contenedores como lo es el Puerto de La Unión, mencionar como ha sido el movimiento de buques en los puertos de Centroamérica y que tipo de buques son los que más atracan en dichas terminales portuarias en los últimos años, es decir en el primer decenio del siglo XXI; se irá observando como a medida de los años transcurridos, ha ido cambiando la situación a nivel centroamericano.</w:t>
      </w:r>
    </w:p>
    <w:p w:rsidR="00197AA0" w:rsidRPr="00201277" w:rsidRDefault="00197AA0" w:rsidP="00232C32">
      <w:pPr>
        <w:pStyle w:val="Standard"/>
        <w:spacing w:line="360" w:lineRule="auto"/>
        <w:ind w:right="44" w:firstLine="567"/>
        <w:jc w:val="both"/>
        <w:rPr>
          <w:rFonts w:ascii="Arial" w:hAnsi="Arial" w:cs="Arial"/>
          <w:color w:val="000000"/>
          <w:sz w:val="22"/>
          <w:szCs w:val="22"/>
        </w:rPr>
      </w:pPr>
    </w:p>
    <w:p w:rsidR="00197AA0" w:rsidRPr="00201277" w:rsidRDefault="00197AA0" w:rsidP="00232C32">
      <w:pPr>
        <w:pStyle w:val="Standard"/>
        <w:spacing w:line="360" w:lineRule="auto"/>
        <w:ind w:right="44" w:firstLine="567"/>
        <w:jc w:val="both"/>
        <w:rPr>
          <w:rFonts w:ascii="Arial" w:hAnsi="Arial" w:cs="Arial"/>
          <w:sz w:val="22"/>
          <w:szCs w:val="22"/>
        </w:rPr>
      </w:pPr>
      <w:r w:rsidRPr="00201277">
        <w:rPr>
          <w:rFonts w:ascii="Arial" w:hAnsi="Arial" w:cs="Arial"/>
          <w:color w:val="000000"/>
          <w:sz w:val="22"/>
          <w:szCs w:val="22"/>
        </w:rPr>
        <w:t xml:space="preserve"> En este mismo sentido se puede decir que el total de recaladas</w:t>
      </w:r>
      <w:r w:rsidRPr="00201277">
        <w:rPr>
          <w:rFonts w:ascii="Arial" w:hAnsi="Arial" w:cs="Arial"/>
          <w:sz w:val="22"/>
          <w:szCs w:val="22"/>
        </w:rPr>
        <w:t xml:space="preserve"> que se dio en el </w:t>
      </w:r>
      <w:r w:rsidRPr="00201277">
        <w:rPr>
          <w:rFonts w:ascii="Arial" w:hAnsi="Arial" w:cs="Arial"/>
          <w:sz w:val="22"/>
          <w:szCs w:val="22"/>
        </w:rPr>
        <w:lastRenderedPageBreak/>
        <w:t>período del año 2001, fue de 12,773, habiéndose dado la mayor cantidad de ellas en los puertos de Panamá, seguido de Costa Rica, Guatemala y Honduras. De ellos, el 44% corresponde a buques portacontenedores</w:t>
      </w:r>
      <w:r w:rsidRPr="00201277">
        <w:rPr>
          <w:rStyle w:val="Refdenotaalpie"/>
          <w:rFonts w:ascii="Arial" w:hAnsi="Arial" w:cs="Arial"/>
          <w:sz w:val="22"/>
          <w:szCs w:val="22"/>
        </w:rPr>
        <w:footnoteReference w:id="169"/>
      </w:r>
      <w:r w:rsidRPr="00201277">
        <w:rPr>
          <w:rFonts w:ascii="Arial" w:hAnsi="Arial" w:cs="Arial"/>
          <w:sz w:val="22"/>
          <w:szCs w:val="22"/>
        </w:rPr>
        <w:t>. La participación de los diferentes tipos de buques se aprecia en la siguiente gráfica:</w:t>
      </w:r>
    </w:p>
    <w:p w:rsidR="00197AA0" w:rsidRPr="00201277" w:rsidRDefault="00197AA0" w:rsidP="00232C32">
      <w:pPr>
        <w:pStyle w:val="Standard"/>
        <w:spacing w:line="360" w:lineRule="auto"/>
        <w:ind w:right="44" w:firstLine="567"/>
        <w:jc w:val="both"/>
        <w:rPr>
          <w:rFonts w:ascii="Arial" w:hAnsi="Arial" w:cs="Arial"/>
          <w:sz w:val="22"/>
          <w:szCs w:val="22"/>
        </w:rPr>
      </w:pPr>
    </w:p>
    <w:p w:rsidR="00197AA0" w:rsidRPr="00201277" w:rsidRDefault="00197AA0" w:rsidP="00232C32">
      <w:pPr>
        <w:pStyle w:val="Standard"/>
        <w:spacing w:line="360" w:lineRule="auto"/>
        <w:ind w:right="44" w:firstLine="567"/>
        <w:jc w:val="both"/>
        <w:rPr>
          <w:rFonts w:ascii="Arial" w:hAnsi="Arial" w:cs="Arial"/>
          <w:sz w:val="22"/>
          <w:szCs w:val="22"/>
        </w:rPr>
      </w:pPr>
    </w:p>
    <w:p w:rsidR="00197AA0" w:rsidRPr="00201277" w:rsidRDefault="00197AA0" w:rsidP="00232C32">
      <w:pPr>
        <w:pStyle w:val="Standard"/>
        <w:spacing w:line="360" w:lineRule="auto"/>
        <w:ind w:right="44" w:firstLine="567"/>
        <w:jc w:val="both"/>
        <w:rPr>
          <w:rFonts w:ascii="Arial" w:hAnsi="Arial" w:cs="Arial"/>
          <w:sz w:val="22"/>
          <w:szCs w:val="22"/>
        </w:rPr>
      </w:pPr>
    </w:p>
    <w:p w:rsidR="00197AA0" w:rsidRPr="00201277" w:rsidRDefault="00197AA0" w:rsidP="00232C32">
      <w:pPr>
        <w:pStyle w:val="Standard"/>
        <w:spacing w:line="360" w:lineRule="auto"/>
        <w:ind w:right="44" w:firstLine="567"/>
        <w:jc w:val="both"/>
        <w:rPr>
          <w:rFonts w:ascii="Arial" w:hAnsi="Arial" w:cs="Arial"/>
          <w:sz w:val="22"/>
          <w:szCs w:val="22"/>
        </w:rPr>
      </w:pPr>
    </w:p>
    <w:p w:rsidR="00197AA0" w:rsidRPr="00201277" w:rsidRDefault="00197AA0" w:rsidP="00232C32">
      <w:pPr>
        <w:pStyle w:val="Standard"/>
        <w:spacing w:line="360" w:lineRule="auto"/>
        <w:ind w:right="44" w:firstLine="567"/>
        <w:jc w:val="both"/>
        <w:rPr>
          <w:rFonts w:ascii="Arial" w:hAnsi="Arial" w:cs="Arial"/>
          <w:sz w:val="22"/>
          <w:szCs w:val="22"/>
        </w:rPr>
      </w:pPr>
    </w:p>
    <w:p w:rsidR="00197AA0" w:rsidRPr="00201277" w:rsidRDefault="00197AA0" w:rsidP="00232C32">
      <w:pPr>
        <w:pStyle w:val="Standard"/>
        <w:spacing w:line="360" w:lineRule="auto"/>
        <w:ind w:right="44"/>
        <w:jc w:val="both"/>
        <w:rPr>
          <w:rFonts w:ascii="Arial" w:hAnsi="Arial" w:cs="Arial"/>
          <w:sz w:val="22"/>
          <w:szCs w:val="22"/>
        </w:rPr>
      </w:pPr>
    </w:p>
    <w:p w:rsidR="00197AA0" w:rsidRPr="00201277" w:rsidRDefault="00197AA0" w:rsidP="00232C32">
      <w:pPr>
        <w:pStyle w:val="Standard"/>
        <w:spacing w:line="360" w:lineRule="auto"/>
        <w:ind w:right="44"/>
        <w:jc w:val="both"/>
        <w:rPr>
          <w:rFonts w:ascii="Arial" w:hAnsi="Arial" w:cs="Arial"/>
          <w:b/>
          <w:sz w:val="22"/>
          <w:szCs w:val="22"/>
        </w:rPr>
      </w:pPr>
    </w:p>
    <w:p w:rsidR="00197AA0" w:rsidRDefault="00197AA0" w:rsidP="00232C32">
      <w:pPr>
        <w:pStyle w:val="Standard"/>
        <w:spacing w:line="360" w:lineRule="auto"/>
        <w:ind w:left="567" w:right="44"/>
        <w:jc w:val="both"/>
        <w:rPr>
          <w:rFonts w:ascii="Arial" w:hAnsi="Arial" w:cs="Arial"/>
          <w:b/>
          <w:sz w:val="22"/>
          <w:szCs w:val="22"/>
        </w:rPr>
      </w:pPr>
    </w:p>
    <w:p w:rsidR="00197AA0" w:rsidRPr="00201277" w:rsidRDefault="001D7573" w:rsidP="00232C32">
      <w:pPr>
        <w:pStyle w:val="Standard"/>
        <w:spacing w:line="360" w:lineRule="auto"/>
        <w:ind w:left="567" w:right="44"/>
        <w:jc w:val="both"/>
        <w:rPr>
          <w:rFonts w:ascii="Arial" w:hAnsi="Arial" w:cs="Arial"/>
          <w:b/>
          <w:sz w:val="22"/>
          <w:szCs w:val="22"/>
        </w:rPr>
      </w:pPr>
      <w:r>
        <w:rPr>
          <w:rFonts w:ascii="Arial" w:hAnsi="Arial" w:cs="Arial"/>
          <w:b/>
          <w:noProof/>
          <w:sz w:val="22"/>
          <w:szCs w:val="22"/>
          <w:lang w:val="es-ES" w:eastAsia="es-ES" w:bidi="ar-SA"/>
        </w:rPr>
        <w:pict>
          <v:shape id="_x0000_s1158" type="#_x0000_t202" style="position:absolute;left:0;text-align:left;margin-left:173.3pt;margin-top:81.35pt;width:48.4pt;height:21pt;z-index:251787264;mso-height-percent:200;mso-height-percent:200;mso-width-relative:margin;mso-height-relative:margin" fillcolor="white [3212]" stroked="f">
            <v:textbox style="mso-next-textbox:#_x0000_s1158;mso-fit-shape-to-text:t">
              <w:txbxContent>
                <w:p w:rsidR="00AC7D7B" w:rsidRDefault="00AC7D7B" w:rsidP="007467DF">
                  <w:r>
                    <w:t>110</w:t>
                  </w:r>
                </w:p>
              </w:txbxContent>
            </v:textbox>
          </v:shape>
        </w:pict>
      </w:r>
    </w:p>
    <w:p w:rsidR="00197AA0" w:rsidRPr="00201277" w:rsidRDefault="00197AA0" w:rsidP="00232C32">
      <w:pPr>
        <w:pStyle w:val="Standard"/>
        <w:spacing w:line="360" w:lineRule="auto"/>
        <w:ind w:right="44"/>
        <w:jc w:val="both"/>
        <w:rPr>
          <w:rFonts w:ascii="Arial" w:hAnsi="Arial" w:cs="Arial"/>
          <w:b/>
          <w:sz w:val="22"/>
          <w:szCs w:val="22"/>
        </w:rPr>
      </w:pPr>
      <w:r w:rsidRPr="00201277">
        <w:rPr>
          <w:rFonts w:ascii="Arial" w:hAnsi="Arial" w:cs="Arial"/>
          <w:b/>
          <w:sz w:val="22"/>
          <w:szCs w:val="22"/>
        </w:rPr>
        <w:t>Gráfica 3.1 Buques atendidos en los Puertos Centroamericanos por Tipo de Buque, año 2001</w:t>
      </w:r>
    </w:p>
    <w:p w:rsidR="00197AA0" w:rsidRDefault="007C6B79" w:rsidP="00232C32">
      <w:pPr>
        <w:pStyle w:val="Standard"/>
        <w:spacing w:line="360" w:lineRule="auto"/>
        <w:ind w:right="44"/>
        <w:jc w:val="both"/>
        <w:rPr>
          <w:rFonts w:ascii="Arial" w:hAnsi="Arial" w:cs="Arial"/>
          <w:color w:val="000000"/>
          <w:sz w:val="22"/>
          <w:szCs w:val="22"/>
        </w:rPr>
      </w:pPr>
      <w:r>
        <w:rPr>
          <w:rFonts w:ascii="Arial" w:hAnsi="Arial" w:cs="Arial"/>
          <w:noProof/>
          <w:sz w:val="22"/>
          <w:szCs w:val="22"/>
          <w:lang w:val="es-ES" w:eastAsia="es-ES" w:bidi="ar-SA"/>
        </w:rPr>
        <w:drawing>
          <wp:inline distT="0" distB="0" distL="0" distR="0">
            <wp:extent cx="5248275" cy="3952875"/>
            <wp:effectExtent l="1905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srcRect/>
                    <a:stretch>
                      <a:fillRect/>
                    </a:stretch>
                  </pic:blipFill>
                  <pic:spPr bwMode="auto">
                    <a:xfrm>
                      <a:off x="0" y="0"/>
                      <a:ext cx="5248275" cy="3952875"/>
                    </a:xfrm>
                    <a:prstGeom prst="rect">
                      <a:avLst/>
                    </a:prstGeom>
                    <a:noFill/>
                    <a:ln w="9525">
                      <a:noFill/>
                      <a:miter lim="800000"/>
                      <a:headEnd/>
                      <a:tailEnd/>
                    </a:ln>
                  </pic:spPr>
                </pic:pic>
              </a:graphicData>
            </a:graphic>
          </wp:inline>
        </w:drawing>
      </w:r>
      <w:r w:rsidR="00197AA0">
        <w:rPr>
          <w:rFonts w:ascii="Arial" w:hAnsi="Arial" w:cs="Arial"/>
          <w:noProof/>
          <w:sz w:val="22"/>
          <w:szCs w:val="22"/>
          <w:lang w:eastAsia="es-SV" w:bidi="ar-SA"/>
        </w:rPr>
        <w:t xml:space="preserve"> </w:t>
      </w:r>
    </w:p>
    <w:p w:rsidR="00197AA0" w:rsidRDefault="00197AA0" w:rsidP="00232C32">
      <w:pPr>
        <w:pStyle w:val="Standard"/>
        <w:spacing w:line="360" w:lineRule="auto"/>
        <w:ind w:right="44" w:firstLine="567"/>
        <w:jc w:val="both"/>
        <w:rPr>
          <w:rFonts w:ascii="Arial" w:hAnsi="Arial" w:cs="Arial"/>
          <w:color w:val="000000"/>
          <w:sz w:val="18"/>
          <w:szCs w:val="18"/>
        </w:rPr>
      </w:pPr>
      <w:r>
        <w:rPr>
          <w:rFonts w:ascii="Arial" w:hAnsi="Arial" w:cs="Arial"/>
          <w:color w:val="000000"/>
          <w:sz w:val="18"/>
          <w:szCs w:val="18"/>
        </w:rPr>
        <w:t>Fuente: Estadísticas portuarias, COCATRAM.</w:t>
      </w:r>
    </w:p>
    <w:p w:rsidR="00197AA0" w:rsidRDefault="00197AA0" w:rsidP="00232C32">
      <w:pPr>
        <w:pStyle w:val="Standard"/>
        <w:spacing w:line="360" w:lineRule="auto"/>
        <w:ind w:right="44" w:firstLine="567"/>
        <w:jc w:val="both"/>
        <w:rPr>
          <w:rFonts w:ascii="Arial" w:hAnsi="Arial" w:cs="Arial"/>
          <w:color w:val="000000"/>
          <w:sz w:val="22"/>
          <w:szCs w:val="22"/>
        </w:rPr>
      </w:pPr>
    </w:p>
    <w:p w:rsidR="00197AA0" w:rsidRDefault="00197AA0" w:rsidP="00232C32">
      <w:pPr>
        <w:pStyle w:val="Standard"/>
        <w:spacing w:line="360" w:lineRule="auto"/>
        <w:ind w:right="44" w:firstLine="567"/>
        <w:jc w:val="both"/>
        <w:rPr>
          <w:rFonts w:ascii="Arial" w:hAnsi="Arial" w:cs="Arial"/>
          <w:color w:val="000000"/>
          <w:sz w:val="22"/>
          <w:szCs w:val="22"/>
        </w:rPr>
      </w:pPr>
      <w:r>
        <w:rPr>
          <w:rFonts w:ascii="Arial" w:hAnsi="Arial" w:cs="Arial"/>
          <w:color w:val="000000"/>
          <w:sz w:val="22"/>
          <w:szCs w:val="22"/>
        </w:rPr>
        <w:t>En la imagen se puede apreciar de manera clara y detallada, que tipos de buques son los que llegaban a atracar a los diversos puertos de la región centroamericana en el año 2001, pudiéndose notar que los buques portacontenedores tienen ventaja clara sobre otros tipos de buques, en comparación con los buques convencionales.</w:t>
      </w:r>
    </w:p>
    <w:p w:rsidR="00197AA0" w:rsidRDefault="00197AA0" w:rsidP="00232C32">
      <w:pPr>
        <w:pStyle w:val="Standard"/>
        <w:spacing w:line="360" w:lineRule="auto"/>
        <w:ind w:right="44" w:firstLine="567"/>
        <w:jc w:val="both"/>
        <w:rPr>
          <w:rFonts w:ascii="Arial" w:hAnsi="Arial" w:cs="Arial"/>
          <w:color w:val="000000"/>
          <w:sz w:val="22"/>
          <w:szCs w:val="22"/>
        </w:rPr>
      </w:pPr>
    </w:p>
    <w:p w:rsidR="00197AA0" w:rsidRDefault="00197AA0" w:rsidP="00232C32">
      <w:pPr>
        <w:pStyle w:val="Standard"/>
        <w:spacing w:line="360" w:lineRule="auto"/>
        <w:ind w:right="44" w:firstLine="567"/>
        <w:jc w:val="both"/>
        <w:rPr>
          <w:rFonts w:ascii="Arial" w:hAnsi="Arial" w:cs="Arial"/>
          <w:sz w:val="22"/>
          <w:szCs w:val="22"/>
        </w:rPr>
      </w:pPr>
      <w:r>
        <w:rPr>
          <w:rFonts w:ascii="Arial" w:hAnsi="Arial" w:cs="Arial"/>
          <w:color w:val="000000"/>
          <w:sz w:val="22"/>
          <w:szCs w:val="22"/>
        </w:rPr>
        <w:t>En comparación con lo anteriormente presentado y para tener una idea mucho más amplia, se presentarán datos del año 2003, para conocer un posible incremento de los buques que recalaron en los puertos de la región. Es así que se contabilizó un total de 14,055 buques que llegaron a atracar a los puertos centroamericanos, resultando de esta manera un 6.6% más que en años anteriores (2001-2002)</w:t>
      </w:r>
      <w:r>
        <w:rPr>
          <w:rStyle w:val="Refdenotaalpie"/>
          <w:rFonts w:ascii="Arial" w:hAnsi="Arial" w:cs="Arial"/>
          <w:color w:val="000000"/>
          <w:sz w:val="22"/>
          <w:szCs w:val="22"/>
        </w:rPr>
        <w:footnoteReference w:id="170"/>
      </w:r>
      <w:r>
        <w:rPr>
          <w:rFonts w:ascii="Arial" w:hAnsi="Arial" w:cs="Arial"/>
          <w:color w:val="000000"/>
          <w:sz w:val="22"/>
          <w:szCs w:val="22"/>
        </w:rPr>
        <w:t xml:space="preserve">. </w:t>
      </w:r>
      <w:r>
        <w:rPr>
          <w:rFonts w:ascii="Arial" w:hAnsi="Arial" w:cs="Arial"/>
          <w:sz w:val="22"/>
          <w:szCs w:val="22"/>
        </w:rPr>
        <w:t>La participación de los diferentes tipos de buque se aprecia en la siguiente gráfica:</w:t>
      </w:r>
    </w:p>
    <w:p w:rsidR="00197AA0" w:rsidRDefault="001D7573" w:rsidP="00232C32">
      <w:pPr>
        <w:pStyle w:val="Standard"/>
        <w:spacing w:line="360" w:lineRule="auto"/>
        <w:ind w:right="44" w:firstLine="567"/>
        <w:jc w:val="both"/>
        <w:rPr>
          <w:rFonts w:ascii="Arial" w:hAnsi="Arial" w:cs="Arial"/>
          <w:sz w:val="22"/>
          <w:szCs w:val="22"/>
        </w:rPr>
      </w:pPr>
      <w:r w:rsidRPr="001D7573">
        <w:rPr>
          <w:rFonts w:ascii="Arial" w:hAnsi="Arial" w:cs="Arial"/>
          <w:b/>
          <w:noProof/>
          <w:sz w:val="22"/>
          <w:szCs w:val="22"/>
          <w:lang w:val="es-ES" w:eastAsia="es-ES" w:bidi="ar-SA"/>
        </w:rPr>
        <w:pict>
          <v:shape id="_x0000_s1157" type="#_x0000_t202" style="position:absolute;left:0;text-align:left;margin-left:201.75pt;margin-top:78pt;width:45pt;height:21pt;z-index:251786240;mso-height-percent:200;mso-height-percent:200;mso-width-relative:margin;mso-height-relative:margin" fillcolor="white [3212]" stroked="f">
            <v:textbox style="mso-next-textbox:#_x0000_s1157;mso-fit-shape-to-text:t">
              <w:txbxContent>
                <w:p w:rsidR="00AC7D7B" w:rsidRDefault="00AC7D7B" w:rsidP="007467DF">
                  <w:r>
                    <w:t>111</w:t>
                  </w:r>
                </w:p>
              </w:txbxContent>
            </v:textbox>
          </v:shape>
        </w:pict>
      </w:r>
    </w:p>
    <w:p w:rsidR="00197AA0" w:rsidRDefault="00197AA0" w:rsidP="00232C32">
      <w:pPr>
        <w:pStyle w:val="Standard"/>
        <w:spacing w:line="360" w:lineRule="auto"/>
        <w:ind w:right="44"/>
        <w:jc w:val="both"/>
        <w:rPr>
          <w:rFonts w:ascii="Arial" w:hAnsi="Arial" w:cs="Arial"/>
          <w:b/>
          <w:color w:val="000000"/>
          <w:sz w:val="22"/>
          <w:szCs w:val="22"/>
        </w:rPr>
      </w:pPr>
      <w:r>
        <w:rPr>
          <w:rFonts w:ascii="Arial" w:hAnsi="Arial" w:cs="Arial"/>
          <w:b/>
          <w:sz w:val="22"/>
          <w:szCs w:val="22"/>
        </w:rPr>
        <w:t>Gráfica 3.2 Buques atendidos por Tipo en los Puertos del Istmo Centroamericano, año 2003.</w:t>
      </w:r>
    </w:p>
    <w:p w:rsidR="00197AA0" w:rsidRDefault="007C6B79" w:rsidP="00232C32">
      <w:pPr>
        <w:pStyle w:val="Standard"/>
        <w:spacing w:line="360" w:lineRule="auto"/>
        <w:ind w:right="44"/>
        <w:jc w:val="both"/>
        <w:rPr>
          <w:rFonts w:ascii="Arial" w:hAnsi="Arial" w:cs="Arial"/>
          <w:color w:val="000000"/>
          <w:sz w:val="22"/>
          <w:szCs w:val="22"/>
        </w:rPr>
      </w:pPr>
      <w:r>
        <w:rPr>
          <w:rFonts w:ascii="Arial" w:hAnsi="Arial" w:cs="Arial"/>
          <w:noProof/>
          <w:color w:val="000000"/>
          <w:sz w:val="22"/>
          <w:szCs w:val="22"/>
          <w:lang w:val="es-ES" w:eastAsia="es-ES" w:bidi="ar-SA"/>
        </w:rPr>
        <w:drawing>
          <wp:inline distT="0" distB="0" distL="0" distR="0">
            <wp:extent cx="5076825" cy="3295650"/>
            <wp:effectExtent l="1905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7"/>
                    <a:srcRect/>
                    <a:stretch>
                      <a:fillRect/>
                    </a:stretch>
                  </pic:blipFill>
                  <pic:spPr bwMode="auto">
                    <a:xfrm>
                      <a:off x="0" y="0"/>
                      <a:ext cx="5076825" cy="3295650"/>
                    </a:xfrm>
                    <a:prstGeom prst="rect">
                      <a:avLst/>
                    </a:prstGeom>
                    <a:noFill/>
                    <a:ln w="9525">
                      <a:noFill/>
                      <a:miter lim="800000"/>
                      <a:headEnd/>
                      <a:tailEnd/>
                    </a:ln>
                  </pic:spPr>
                </pic:pic>
              </a:graphicData>
            </a:graphic>
          </wp:inline>
        </w:drawing>
      </w:r>
    </w:p>
    <w:p w:rsidR="00197AA0" w:rsidRDefault="00197AA0" w:rsidP="00232C32">
      <w:pPr>
        <w:pStyle w:val="Standard"/>
        <w:spacing w:line="360" w:lineRule="auto"/>
        <w:ind w:right="44" w:firstLine="567"/>
        <w:jc w:val="both"/>
        <w:rPr>
          <w:rFonts w:ascii="Arial" w:hAnsi="Arial" w:cs="Arial"/>
          <w:color w:val="000000"/>
          <w:sz w:val="18"/>
          <w:szCs w:val="18"/>
        </w:rPr>
      </w:pPr>
      <w:r>
        <w:rPr>
          <w:rFonts w:ascii="Arial" w:hAnsi="Arial" w:cs="Arial"/>
          <w:color w:val="000000"/>
          <w:sz w:val="18"/>
          <w:szCs w:val="18"/>
        </w:rPr>
        <w:t>Fuente: Estadísticas portuarias, COCATRAM</w:t>
      </w:r>
    </w:p>
    <w:p w:rsidR="00197AA0" w:rsidRDefault="00197AA0" w:rsidP="00232C32">
      <w:pPr>
        <w:pStyle w:val="Standard"/>
        <w:spacing w:line="360" w:lineRule="auto"/>
        <w:ind w:right="44" w:firstLine="567"/>
        <w:jc w:val="both"/>
        <w:rPr>
          <w:rFonts w:ascii="Arial" w:hAnsi="Arial" w:cs="Arial"/>
          <w:color w:val="000000"/>
          <w:sz w:val="22"/>
          <w:szCs w:val="22"/>
        </w:rPr>
      </w:pPr>
    </w:p>
    <w:p w:rsidR="00197AA0" w:rsidRDefault="00197AA0" w:rsidP="00232C32">
      <w:pPr>
        <w:pStyle w:val="Standard"/>
        <w:spacing w:line="360" w:lineRule="auto"/>
        <w:ind w:right="44" w:firstLine="567"/>
        <w:jc w:val="both"/>
        <w:rPr>
          <w:rFonts w:ascii="Arial" w:hAnsi="Arial" w:cs="Arial"/>
          <w:color w:val="000000"/>
          <w:sz w:val="22"/>
          <w:szCs w:val="22"/>
        </w:rPr>
      </w:pPr>
      <w:r>
        <w:rPr>
          <w:rFonts w:ascii="Arial" w:hAnsi="Arial" w:cs="Arial"/>
          <w:color w:val="000000"/>
          <w:sz w:val="22"/>
          <w:szCs w:val="22"/>
        </w:rPr>
        <w:t xml:space="preserve">En la imagen presentada se puede observar un incremento en porcentajes por </w:t>
      </w:r>
      <w:r>
        <w:rPr>
          <w:rFonts w:ascii="Arial" w:hAnsi="Arial" w:cs="Arial"/>
          <w:color w:val="000000"/>
          <w:sz w:val="22"/>
          <w:szCs w:val="22"/>
        </w:rPr>
        <w:lastRenderedPageBreak/>
        <w:t>parte de los portacontenedores teniendo un 45%, sin embargo no es el caso de los buques convencionales donde se denota una clara diferencia de un -4%, en comparación con la grafica del año 2001.</w:t>
      </w:r>
    </w:p>
    <w:p w:rsidR="00197AA0" w:rsidRDefault="00197AA0" w:rsidP="00232C32">
      <w:pPr>
        <w:pStyle w:val="Standard"/>
        <w:spacing w:line="360" w:lineRule="auto"/>
        <w:ind w:right="44" w:firstLine="567"/>
        <w:jc w:val="both"/>
        <w:rPr>
          <w:rFonts w:ascii="Arial" w:hAnsi="Arial" w:cs="Arial"/>
          <w:color w:val="000000"/>
          <w:sz w:val="22"/>
          <w:szCs w:val="22"/>
        </w:rPr>
      </w:pPr>
    </w:p>
    <w:p w:rsidR="00197AA0" w:rsidRDefault="00197AA0" w:rsidP="00232C32">
      <w:pPr>
        <w:pStyle w:val="Standard"/>
        <w:spacing w:line="360" w:lineRule="auto"/>
        <w:ind w:right="44" w:firstLine="567"/>
        <w:jc w:val="both"/>
        <w:rPr>
          <w:rFonts w:ascii="Arial" w:hAnsi="Arial" w:cs="Arial"/>
          <w:color w:val="000000"/>
          <w:sz w:val="22"/>
          <w:szCs w:val="22"/>
        </w:rPr>
      </w:pPr>
      <w:r>
        <w:rPr>
          <w:rFonts w:ascii="Arial" w:hAnsi="Arial" w:cs="Arial"/>
          <w:color w:val="000000"/>
          <w:sz w:val="22"/>
          <w:szCs w:val="22"/>
        </w:rPr>
        <w:t>En la misma línea es importante conocer datos más actuales en comparación a las gráficas anteriormente explicadas, para contrastar los resultados que se obtuvieron ya para el año 2008, en este mismo año se atendió a un total de 17,127 buques mercantes de comercio exterior y cruceros en los puertos del istmo centroamericano, con una disminución de 282 buques, que representan el 1.6% de decrecimiento respecto al año 2007. Es decir que en valores absolutos fue Panamá el único país que tuvo incremento en la cantidad de buques atendidos, específicamente fueron alrededor de 251</w:t>
      </w:r>
      <w:r>
        <w:rPr>
          <w:rStyle w:val="Refdenotaalpie"/>
          <w:rFonts w:ascii="Arial" w:hAnsi="Arial" w:cs="Arial"/>
          <w:color w:val="000000"/>
          <w:sz w:val="22"/>
          <w:szCs w:val="22"/>
        </w:rPr>
        <w:footnoteReference w:id="171"/>
      </w:r>
      <w:r>
        <w:rPr>
          <w:rFonts w:ascii="Arial" w:hAnsi="Arial" w:cs="Arial"/>
          <w:color w:val="000000"/>
          <w:sz w:val="22"/>
          <w:szCs w:val="22"/>
        </w:rPr>
        <w:t xml:space="preserve">. </w:t>
      </w:r>
    </w:p>
    <w:p w:rsidR="00197AA0" w:rsidRDefault="00197AA0" w:rsidP="00232C32">
      <w:pPr>
        <w:pStyle w:val="Standard"/>
        <w:spacing w:line="360" w:lineRule="auto"/>
        <w:ind w:right="44" w:firstLine="567"/>
        <w:jc w:val="both"/>
        <w:rPr>
          <w:rFonts w:ascii="Arial" w:hAnsi="Arial" w:cs="Arial"/>
          <w:color w:val="000000"/>
          <w:sz w:val="22"/>
          <w:szCs w:val="22"/>
        </w:rPr>
      </w:pPr>
    </w:p>
    <w:p w:rsidR="00197AA0" w:rsidRDefault="001D7573" w:rsidP="00232C32">
      <w:pPr>
        <w:pStyle w:val="Standard"/>
        <w:spacing w:line="360" w:lineRule="auto"/>
        <w:ind w:right="44" w:firstLine="567"/>
        <w:jc w:val="both"/>
        <w:rPr>
          <w:rFonts w:ascii="Arial" w:hAnsi="Arial" w:cs="Arial"/>
          <w:color w:val="000000"/>
          <w:sz w:val="22"/>
          <w:szCs w:val="22"/>
        </w:rPr>
      </w:pPr>
      <w:r>
        <w:rPr>
          <w:rFonts w:ascii="Arial" w:hAnsi="Arial" w:cs="Arial"/>
          <w:noProof/>
          <w:color w:val="000000"/>
          <w:sz w:val="22"/>
          <w:szCs w:val="22"/>
          <w:lang w:val="es-ES" w:eastAsia="es-ES" w:bidi="ar-SA"/>
        </w:rPr>
        <w:pict>
          <v:shape id="_x0000_s1160" type="#_x0000_t202" style="position:absolute;left:0;text-align:left;margin-left:194.35pt;margin-top:82.25pt;width:48.4pt;height:21pt;z-index:251789312;mso-height-percent:200;mso-height-percent:200;mso-width-relative:margin;mso-height-relative:margin" fillcolor="white [3212]" stroked="f">
            <v:textbox style="mso-next-textbox:#_x0000_s1160;mso-fit-shape-to-text:t">
              <w:txbxContent>
                <w:p w:rsidR="00AC7D7B" w:rsidRDefault="00AC7D7B" w:rsidP="007467DF">
                  <w:r>
                    <w:t>112</w:t>
                  </w:r>
                </w:p>
              </w:txbxContent>
            </v:textbox>
          </v:shape>
        </w:pict>
      </w:r>
    </w:p>
    <w:p w:rsidR="00197AA0" w:rsidRDefault="00197AA0" w:rsidP="00232C32">
      <w:pPr>
        <w:pStyle w:val="Standard"/>
        <w:spacing w:line="360" w:lineRule="auto"/>
        <w:ind w:right="44"/>
        <w:jc w:val="both"/>
        <w:rPr>
          <w:rFonts w:ascii="Arial" w:hAnsi="Arial" w:cs="Arial"/>
          <w:b/>
          <w:color w:val="000000"/>
          <w:sz w:val="22"/>
          <w:szCs w:val="22"/>
        </w:rPr>
      </w:pPr>
      <w:r>
        <w:rPr>
          <w:rFonts w:ascii="Arial" w:hAnsi="Arial" w:cs="Arial"/>
          <w:b/>
          <w:color w:val="000000"/>
          <w:sz w:val="22"/>
          <w:szCs w:val="22"/>
        </w:rPr>
        <w:t>Gráfica 3.3 Buques por Tipo en los puertos del Istmo Centroamericano, 2008</w:t>
      </w:r>
    </w:p>
    <w:p w:rsidR="00197AA0" w:rsidRDefault="007C6B79" w:rsidP="00232C32">
      <w:pPr>
        <w:pStyle w:val="Standard"/>
        <w:spacing w:line="360" w:lineRule="auto"/>
        <w:ind w:right="44"/>
        <w:jc w:val="both"/>
        <w:rPr>
          <w:rFonts w:ascii="Arial" w:hAnsi="Arial" w:cs="Arial"/>
          <w:color w:val="000000"/>
          <w:sz w:val="22"/>
          <w:szCs w:val="22"/>
        </w:rPr>
      </w:pPr>
      <w:r>
        <w:rPr>
          <w:rFonts w:ascii="Arial" w:eastAsia="Times New Roman" w:hAnsi="Arial" w:cs="Arial"/>
          <w:noProof/>
          <w:color w:val="000000"/>
          <w:sz w:val="22"/>
          <w:szCs w:val="22"/>
          <w:lang w:val="es-ES" w:eastAsia="es-ES" w:bidi="ar-SA"/>
        </w:rPr>
        <w:drawing>
          <wp:inline distT="0" distB="0" distL="0" distR="0">
            <wp:extent cx="5391150" cy="3248025"/>
            <wp:effectExtent l="0" t="0" r="0" b="0"/>
            <wp:docPr id="6" name="Objet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197AA0" w:rsidRDefault="00197AA0" w:rsidP="00232C32">
      <w:pPr>
        <w:pStyle w:val="Standard"/>
        <w:spacing w:line="360" w:lineRule="auto"/>
        <w:ind w:right="44" w:firstLine="567"/>
        <w:jc w:val="both"/>
        <w:rPr>
          <w:rFonts w:ascii="Arial" w:hAnsi="Arial" w:cs="Arial"/>
          <w:color w:val="000000"/>
          <w:sz w:val="18"/>
          <w:szCs w:val="18"/>
        </w:rPr>
      </w:pPr>
      <w:r>
        <w:rPr>
          <w:rFonts w:ascii="Arial" w:hAnsi="Arial" w:cs="Arial"/>
          <w:color w:val="000000"/>
          <w:sz w:val="18"/>
          <w:szCs w:val="18"/>
        </w:rPr>
        <w:t xml:space="preserve">Fuente: Empresas Portuarias del Istmo Centroamericano. </w:t>
      </w:r>
    </w:p>
    <w:p w:rsidR="00197AA0" w:rsidRDefault="00197AA0" w:rsidP="00232C32">
      <w:pPr>
        <w:pStyle w:val="Standard"/>
        <w:spacing w:line="360" w:lineRule="auto"/>
        <w:ind w:right="44" w:firstLine="567"/>
        <w:jc w:val="both"/>
        <w:rPr>
          <w:rFonts w:ascii="Arial" w:hAnsi="Arial" w:cs="Arial"/>
          <w:color w:val="000000"/>
          <w:sz w:val="22"/>
          <w:szCs w:val="22"/>
        </w:rPr>
      </w:pPr>
    </w:p>
    <w:p w:rsidR="00197AA0" w:rsidRDefault="00197AA0" w:rsidP="00232C32">
      <w:pPr>
        <w:pStyle w:val="Standard"/>
        <w:spacing w:line="360" w:lineRule="auto"/>
        <w:ind w:right="44" w:firstLine="567"/>
        <w:jc w:val="both"/>
        <w:rPr>
          <w:rFonts w:ascii="Arial" w:hAnsi="Arial" w:cs="Arial"/>
          <w:color w:val="000000"/>
          <w:sz w:val="22"/>
          <w:szCs w:val="22"/>
        </w:rPr>
      </w:pPr>
      <w:r>
        <w:rPr>
          <w:rFonts w:ascii="Arial" w:hAnsi="Arial" w:cs="Arial"/>
          <w:color w:val="000000"/>
          <w:sz w:val="22"/>
          <w:szCs w:val="22"/>
        </w:rPr>
        <w:t xml:space="preserve"> Así mismo destacar la importancia de observar la tendencia que se ha dado en los últimos dos años (2008-2009), en los principales puertos a nivel latinoamericano que se especializan en el área o servicio. El movimiento portuario de contenedores en América </w:t>
      </w:r>
      <w:r>
        <w:rPr>
          <w:rFonts w:ascii="Arial" w:hAnsi="Arial" w:cs="Arial"/>
          <w:color w:val="000000"/>
          <w:sz w:val="22"/>
          <w:szCs w:val="22"/>
        </w:rPr>
        <w:lastRenderedPageBreak/>
        <w:t>Latina cayó un 6.8% en el año 2009, se determina como principal causa la recién crisis económica que afecto prácticamente a todo el mundo, sin dejar escapar el sector portuario-marítimo</w:t>
      </w:r>
      <w:r>
        <w:rPr>
          <w:rStyle w:val="Refdenotaalpie"/>
          <w:rFonts w:ascii="Arial" w:hAnsi="Arial" w:cs="Arial"/>
          <w:color w:val="000000"/>
          <w:sz w:val="22"/>
          <w:szCs w:val="22"/>
        </w:rPr>
        <w:footnoteReference w:id="172"/>
      </w:r>
      <w:r>
        <w:rPr>
          <w:rFonts w:ascii="Arial" w:hAnsi="Arial" w:cs="Arial"/>
          <w:color w:val="000000"/>
          <w:sz w:val="22"/>
          <w:szCs w:val="22"/>
        </w:rPr>
        <w:t>.</w:t>
      </w:r>
    </w:p>
    <w:p w:rsidR="00197AA0" w:rsidRDefault="00197AA0" w:rsidP="00232C32">
      <w:pPr>
        <w:pStyle w:val="Standard"/>
        <w:spacing w:line="360" w:lineRule="auto"/>
        <w:ind w:right="44" w:firstLine="567"/>
        <w:jc w:val="both"/>
        <w:rPr>
          <w:rFonts w:ascii="Arial" w:hAnsi="Arial" w:cs="Arial"/>
          <w:color w:val="000000"/>
          <w:sz w:val="22"/>
          <w:szCs w:val="22"/>
        </w:rPr>
      </w:pPr>
    </w:p>
    <w:p w:rsidR="00197AA0" w:rsidRDefault="001D7573" w:rsidP="00232C32">
      <w:pPr>
        <w:pStyle w:val="Textbody"/>
        <w:spacing w:line="360" w:lineRule="auto"/>
        <w:ind w:right="44" w:firstLine="567"/>
        <w:jc w:val="both"/>
        <w:rPr>
          <w:rFonts w:ascii="Arial" w:hAnsi="Arial" w:cs="Arial"/>
          <w:color w:val="000000"/>
          <w:sz w:val="22"/>
          <w:szCs w:val="22"/>
        </w:rPr>
      </w:pPr>
      <w:r>
        <w:rPr>
          <w:rFonts w:ascii="Arial" w:hAnsi="Arial" w:cs="Arial"/>
          <w:noProof/>
          <w:color w:val="000000"/>
          <w:sz w:val="22"/>
          <w:szCs w:val="22"/>
          <w:lang w:val="es-ES" w:eastAsia="es-ES" w:bidi="ar-SA"/>
        </w:rPr>
        <w:pict>
          <v:shape id="_x0000_s1159" type="#_x0000_t202" style="position:absolute;left:0;text-align:left;margin-left:214.35pt;margin-top:238.1pt;width:45pt;height:21pt;z-index:251788288;mso-height-percent:200;mso-height-percent:200;mso-width-relative:margin;mso-height-relative:margin" fillcolor="white [3212]" stroked="f">
            <v:textbox style="mso-next-textbox:#_x0000_s1159;mso-fit-shape-to-text:t">
              <w:txbxContent>
                <w:p w:rsidR="00AC7D7B" w:rsidRDefault="00AC7D7B" w:rsidP="007467DF">
                  <w:r>
                    <w:t>113</w:t>
                  </w:r>
                </w:p>
              </w:txbxContent>
            </v:textbox>
          </v:shape>
        </w:pict>
      </w:r>
      <w:r w:rsidR="00197AA0">
        <w:rPr>
          <w:rFonts w:ascii="Arial" w:hAnsi="Arial" w:cs="Arial"/>
          <w:color w:val="000000"/>
          <w:sz w:val="22"/>
          <w:szCs w:val="22"/>
        </w:rPr>
        <w:t>Así como las gráficas presentadas anteriormente, también existe un ranking que fue elaborado por la Unidad de Servicios de Infraestructura de la CEPAL, en el cual se detalla cómo están los puertos a nivel latinoamericano; conocido como el Ranking 2009 de la actividad portuaria de contenedores en América Latina y el Caribe. La lista se encuentra encabezada por el Puerto de Santos, en Brasil, con 2,25 millones de TEUs, cifra que representó una baja de 15,7% en relación al 2008. Le siguen de cerca el complejo portuario de Colón y Balboa, en Panamá, con 2,21 y 2,0 millones de TEUs, respectivamente. Ambos casos también experimentaron una caída en su actividad con respecto al año anterior, es decir en el año 2008. De los puertos analizados en el ranking de la CEPAL, sólo cinco registraron aumentos en los TEUs movilizados con respecto al 2008, aunque en muchos de estos casos, este incremento se debió sólo a una mayor manipulación de contenedores vacíos. En tanto, Cartagena, de Colombia, es el único puerto del club de millón de TEUs que logró aumentar su participación en relación al 2008, con un alza de 7,65%</w:t>
      </w:r>
      <w:r w:rsidR="00197AA0">
        <w:rPr>
          <w:rStyle w:val="Refdenotaalpie"/>
          <w:rFonts w:ascii="Arial" w:hAnsi="Arial" w:cs="Arial"/>
          <w:color w:val="000000"/>
          <w:sz w:val="22"/>
          <w:szCs w:val="22"/>
        </w:rPr>
        <w:footnoteReference w:id="173"/>
      </w:r>
      <w:r w:rsidR="00197AA0">
        <w:rPr>
          <w:rFonts w:ascii="Arial" w:hAnsi="Arial" w:cs="Arial"/>
          <w:color w:val="000000"/>
          <w:sz w:val="22"/>
          <w:szCs w:val="22"/>
        </w:rPr>
        <w:t>.  Según la CEPAL, la situación de la región no es extraña respecto al resto del mundo, ya que los principales puertos del planeta también experimentaron caídas similares en sus movimientos de contenedores en 2009.</w:t>
      </w:r>
    </w:p>
    <w:p w:rsidR="00197AA0" w:rsidRDefault="00197AA0" w:rsidP="00232C32">
      <w:pPr>
        <w:spacing w:before="100" w:after="100" w:line="360" w:lineRule="auto"/>
        <w:ind w:right="44"/>
        <w:jc w:val="both"/>
        <w:rPr>
          <w:rFonts w:ascii="Arial" w:hAnsi="Arial" w:cs="Arial"/>
          <w:b/>
          <w:bCs/>
          <w:color w:val="000000"/>
          <w:sz w:val="22"/>
          <w:szCs w:val="22"/>
        </w:rPr>
      </w:pPr>
    </w:p>
    <w:p w:rsidR="00197AA0" w:rsidRPr="00491099" w:rsidRDefault="00197AA0" w:rsidP="00232C32">
      <w:pPr>
        <w:spacing w:before="100" w:after="100" w:line="360" w:lineRule="auto"/>
        <w:ind w:right="44"/>
        <w:jc w:val="both"/>
        <w:rPr>
          <w:rFonts w:ascii="Arial" w:hAnsi="Arial" w:cs="Arial"/>
          <w:b/>
          <w:bCs/>
          <w:color w:val="000000"/>
          <w:sz w:val="22"/>
          <w:szCs w:val="22"/>
        </w:rPr>
      </w:pPr>
      <w:r w:rsidRPr="00491099">
        <w:rPr>
          <w:rFonts w:ascii="Arial" w:hAnsi="Arial" w:cs="Arial"/>
          <w:b/>
          <w:bCs/>
          <w:color w:val="000000"/>
          <w:sz w:val="22"/>
          <w:szCs w:val="22"/>
        </w:rPr>
        <w:t xml:space="preserve">3.2 Derrame o vertido de hidrocarburos: Consecuencias y efectos en la zona del Golfo de Fonseca ante una posible contaminación marina </w:t>
      </w:r>
    </w:p>
    <w:p w:rsidR="00197AA0" w:rsidRPr="00491099" w:rsidRDefault="00197AA0" w:rsidP="00232C32">
      <w:pPr>
        <w:spacing w:before="100" w:after="100" w:line="360" w:lineRule="auto"/>
        <w:ind w:right="44"/>
        <w:jc w:val="both"/>
        <w:rPr>
          <w:rFonts w:ascii="Arial" w:hAnsi="Arial" w:cs="Arial"/>
          <w:b/>
          <w:bCs/>
          <w:color w:val="000000"/>
          <w:sz w:val="22"/>
          <w:szCs w:val="22"/>
        </w:rPr>
      </w:pPr>
    </w:p>
    <w:p w:rsidR="00197AA0" w:rsidRPr="00491099" w:rsidRDefault="00197AA0" w:rsidP="00232C32">
      <w:pPr>
        <w:spacing w:before="100" w:after="100" w:line="360" w:lineRule="auto"/>
        <w:ind w:right="44" w:firstLine="567"/>
        <w:jc w:val="both"/>
        <w:rPr>
          <w:rFonts w:ascii="Arial" w:hAnsi="Arial" w:cs="Arial"/>
          <w:bCs/>
          <w:color w:val="000000"/>
          <w:sz w:val="22"/>
          <w:szCs w:val="22"/>
        </w:rPr>
      </w:pPr>
      <w:r w:rsidRPr="00491099">
        <w:rPr>
          <w:rFonts w:ascii="Arial" w:hAnsi="Arial" w:cs="Arial"/>
          <w:bCs/>
          <w:color w:val="000000"/>
          <w:sz w:val="22"/>
          <w:szCs w:val="22"/>
        </w:rPr>
        <w:t xml:space="preserve">El Puerto de La Unión, actualmente sólo está operando la primera fase, que es la zona donde llegarán a atracar los buques portacontenedores, donde existirá un atracadero de 340 metros, para una longitud de un barco típico de 295 metros y con una profundidad de 14 metros. En pocas palabras la terminal de contenedores tendrá 16 hectáreas. </w:t>
      </w:r>
    </w:p>
    <w:p w:rsidR="00197AA0" w:rsidRPr="00491099" w:rsidRDefault="00197AA0" w:rsidP="00232C32">
      <w:pPr>
        <w:spacing w:before="100" w:after="100" w:line="360" w:lineRule="auto"/>
        <w:ind w:right="44" w:firstLine="567"/>
        <w:jc w:val="both"/>
        <w:rPr>
          <w:rFonts w:ascii="Arial" w:hAnsi="Arial" w:cs="Arial"/>
          <w:bCs/>
          <w:color w:val="000000"/>
          <w:sz w:val="22"/>
          <w:szCs w:val="22"/>
        </w:rPr>
      </w:pPr>
      <w:r w:rsidRPr="00491099">
        <w:rPr>
          <w:rFonts w:ascii="Arial" w:hAnsi="Arial" w:cs="Arial"/>
          <w:bCs/>
          <w:color w:val="000000"/>
          <w:sz w:val="22"/>
          <w:szCs w:val="22"/>
        </w:rPr>
        <w:lastRenderedPageBreak/>
        <w:t xml:space="preserve">Si bien es cierto las otras dos fases que complementarán al puerto aún no están terminadas, una de ellas es la terminal especializada en hidrocarburo que representará riesgo de contaminación marina, aunque en la actualidad no sea un tema muy abordado por las autoridades marítimas ni por los medios de comunicación; más sin embargo, es importante considerarlo, porque representará graves consecuencias al medio ambiente marino en general. </w:t>
      </w:r>
    </w:p>
    <w:p w:rsidR="00197AA0" w:rsidRPr="00491099" w:rsidRDefault="00197AA0" w:rsidP="00232C32">
      <w:pPr>
        <w:spacing w:before="100" w:after="100" w:line="360" w:lineRule="auto"/>
        <w:ind w:right="44" w:firstLine="567"/>
        <w:jc w:val="both"/>
        <w:rPr>
          <w:rFonts w:ascii="Arial" w:hAnsi="Arial" w:cs="Arial"/>
          <w:bCs/>
          <w:color w:val="000000"/>
          <w:sz w:val="22"/>
          <w:szCs w:val="22"/>
        </w:rPr>
      </w:pPr>
      <w:r w:rsidRPr="00491099">
        <w:rPr>
          <w:rFonts w:ascii="Arial" w:hAnsi="Arial" w:cs="Arial"/>
          <w:bCs/>
          <w:color w:val="000000"/>
          <w:sz w:val="22"/>
          <w:szCs w:val="22"/>
        </w:rPr>
        <w:t>No obstante también resulta fundamental aclarar que la actividad cotidiana de los buques que transitarán por la zona del Golfo de Fonseca representará muchas más amenazas de contaminación. De acuerdo a esto, a continuación se presenta y se detalla la ubicación de las tres terminales portuarias y además también como se verá cuando quede concluido en un 100% el Puerto de La Unión.</w:t>
      </w:r>
    </w:p>
    <w:p w:rsidR="00197AA0" w:rsidRDefault="00197AA0" w:rsidP="00232C32">
      <w:pPr>
        <w:spacing w:before="100" w:after="100" w:line="360" w:lineRule="auto"/>
        <w:ind w:right="44" w:firstLine="567"/>
        <w:jc w:val="both"/>
        <w:rPr>
          <w:rFonts w:ascii="Arial" w:hAnsi="Arial" w:cs="Arial"/>
          <w:bCs/>
          <w:color w:val="000000"/>
          <w:sz w:val="22"/>
          <w:szCs w:val="22"/>
        </w:rPr>
      </w:pPr>
    </w:p>
    <w:p w:rsidR="00197AA0" w:rsidRDefault="00197AA0" w:rsidP="00232C32">
      <w:pPr>
        <w:spacing w:before="100" w:after="100" w:line="360" w:lineRule="auto"/>
        <w:ind w:right="44" w:firstLine="567"/>
        <w:jc w:val="both"/>
        <w:rPr>
          <w:rFonts w:ascii="Arial" w:hAnsi="Arial" w:cs="Arial"/>
          <w:bCs/>
          <w:color w:val="000000"/>
          <w:sz w:val="22"/>
          <w:szCs w:val="22"/>
        </w:rPr>
      </w:pPr>
    </w:p>
    <w:p w:rsidR="00197AA0" w:rsidRPr="00491099" w:rsidRDefault="001D7573" w:rsidP="00232C32">
      <w:pPr>
        <w:spacing w:before="100" w:after="100" w:line="360" w:lineRule="auto"/>
        <w:ind w:right="44" w:firstLine="567"/>
        <w:jc w:val="both"/>
        <w:rPr>
          <w:rFonts w:ascii="Arial" w:hAnsi="Arial" w:cs="Arial"/>
          <w:bCs/>
          <w:color w:val="000000"/>
          <w:sz w:val="22"/>
          <w:szCs w:val="22"/>
        </w:rPr>
      </w:pPr>
      <w:r>
        <w:rPr>
          <w:rFonts w:ascii="Arial" w:hAnsi="Arial" w:cs="Arial"/>
          <w:bCs/>
          <w:noProof/>
          <w:color w:val="000000"/>
          <w:sz w:val="22"/>
          <w:szCs w:val="22"/>
        </w:rPr>
        <w:pict>
          <v:shape id="_x0000_s1162" type="#_x0000_t202" style="position:absolute;left:0;text-align:left;margin-left:173.45pt;margin-top:82.9pt;width:48.4pt;height:21pt;z-index:251791360;mso-height-percent:200;mso-height-percent:200;mso-width-relative:margin;mso-height-relative:margin" fillcolor="white [3212]" stroked="f">
            <v:textbox style="mso-next-textbox:#_x0000_s1162;mso-fit-shape-to-text:t">
              <w:txbxContent>
                <w:p w:rsidR="00AC7D7B" w:rsidRDefault="00AC7D7B" w:rsidP="007467DF">
                  <w:r>
                    <w:t>114</w:t>
                  </w:r>
                </w:p>
              </w:txbxContent>
            </v:textbox>
          </v:shape>
        </w:pict>
      </w:r>
    </w:p>
    <w:p w:rsidR="00197AA0" w:rsidRPr="00491099" w:rsidRDefault="00197AA0" w:rsidP="00232C32">
      <w:pPr>
        <w:spacing w:before="100" w:after="100" w:line="360" w:lineRule="auto"/>
        <w:ind w:right="44"/>
        <w:jc w:val="both"/>
        <w:rPr>
          <w:rFonts w:ascii="Arial" w:hAnsi="Arial" w:cs="Arial"/>
          <w:b/>
          <w:bCs/>
          <w:color w:val="000000"/>
          <w:sz w:val="22"/>
          <w:szCs w:val="22"/>
        </w:rPr>
      </w:pPr>
      <w:r w:rsidRPr="00491099">
        <w:rPr>
          <w:rFonts w:ascii="Arial" w:hAnsi="Arial" w:cs="Arial"/>
          <w:b/>
          <w:bCs/>
          <w:color w:val="000000"/>
          <w:sz w:val="22"/>
          <w:szCs w:val="22"/>
        </w:rPr>
        <w:t>Imagen 3.1 Terminales del Puerto de La Unión</w:t>
      </w:r>
    </w:p>
    <w:p w:rsidR="00197AA0" w:rsidRDefault="00197AA0" w:rsidP="00232C32">
      <w:pPr>
        <w:spacing w:before="100" w:after="100" w:line="360" w:lineRule="auto"/>
        <w:ind w:right="44"/>
        <w:jc w:val="both"/>
        <w:rPr>
          <w:rFonts w:ascii="Arial" w:hAnsi="Arial" w:cs="Arial"/>
        </w:rPr>
      </w:pPr>
      <w:r>
        <w:rPr>
          <w:rFonts w:ascii="Arial" w:hAnsi="Arial" w:cs="Arial"/>
          <w:b/>
          <w:bCs/>
          <w:color w:val="000000"/>
        </w:rPr>
        <w:t xml:space="preserve"> </w:t>
      </w:r>
      <w:r w:rsidR="007C6B79">
        <w:rPr>
          <w:rFonts w:ascii="Arial" w:hAnsi="Arial" w:cs="Arial"/>
          <w:noProof/>
        </w:rPr>
        <w:drawing>
          <wp:inline distT="0" distB="0" distL="0" distR="0">
            <wp:extent cx="4667250" cy="2895600"/>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9"/>
                    <a:srcRect/>
                    <a:stretch>
                      <a:fillRect/>
                    </a:stretch>
                  </pic:blipFill>
                  <pic:spPr bwMode="auto">
                    <a:xfrm>
                      <a:off x="0" y="0"/>
                      <a:ext cx="4667250" cy="2895600"/>
                    </a:xfrm>
                    <a:prstGeom prst="rect">
                      <a:avLst/>
                    </a:prstGeom>
                    <a:noFill/>
                    <a:ln w="9525">
                      <a:noFill/>
                      <a:miter lim="800000"/>
                      <a:headEnd/>
                      <a:tailEnd/>
                    </a:ln>
                  </pic:spPr>
                </pic:pic>
              </a:graphicData>
            </a:graphic>
          </wp:inline>
        </w:drawing>
      </w:r>
    </w:p>
    <w:p w:rsidR="00197AA0" w:rsidRDefault="00197AA0" w:rsidP="00232C32">
      <w:pPr>
        <w:spacing w:before="100" w:after="100" w:line="360" w:lineRule="auto"/>
        <w:ind w:right="44"/>
        <w:jc w:val="both"/>
        <w:rPr>
          <w:rFonts w:ascii="Arial" w:hAnsi="Arial" w:cs="Arial"/>
          <w:sz w:val="18"/>
          <w:szCs w:val="18"/>
        </w:rPr>
      </w:pPr>
      <w:r>
        <w:rPr>
          <w:rFonts w:ascii="Arial" w:hAnsi="Arial" w:cs="Arial"/>
          <w:sz w:val="18"/>
          <w:szCs w:val="18"/>
        </w:rPr>
        <w:t>Fuente: http://www.puertolaunion.gob.sv/</w:t>
      </w:r>
    </w:p>
    <w:p w:rsidR="00197AA0" w:rsidRDefault="00197AA0" w:rsidP="00232C32">
      <w:pPr>
        <w:spacing w:line="360" w:lineRule="auto"/>
        <w:ind w:right="44" w:firstLine="567"/>
        <w:jc w:val="both"/>
        <w:rPr>
          <w:rFonts w:ascii="Arial" w:hAnsi="Arial" w:cs="Arial"/>
          <w:sz w:val="22"/>
          <w:szCs w:val="22"/>
        </w:rPr>
      </w:pPr>
    </w:p>
    <w:p w:rsidR="00197AA0" w:rsidRPr="005F780E" w:rsidRDefault="001D7573" w:rsidP="00232C32">
      <w:pPr>
        <w:spacing w:line="360" w:lineRule="auto"/>
        <w:ind w:right="44" w:firstLine="567"/>
        <w:jc w:val="both"/>
        <w:rPr>
          <w:rFonts w:ascii="Arial" w:hAnsi="Arial" w:cs="Arial"/>
          <w:sz w:val="22"/>
          <w:szCs w:val="22"/>
        </w:rPr>
      </w:pPr>
      <w:r w:rsidRPr="001D7573">
        <w:rPr>
          <w:rFonts w:ascii="Arial" w:hAnsi="Arial" w:cs="Arial"/>
          <w:bCs/>
          <w:noProof/>
          <w:color w:val="000000"/>
          <w:sz w:val="22"/>
          <w:szCs w:val="22"/>
        </w:rPr>
        <w:pict>
          <v:shape id="_x0000_s1161" type="#_x0000_t202" style="position:absolute;left:0;text-align:left;margin-left:222.1pt;margin-top:379.4pt;width:45pt;height:21pt;z-index:251790336;mso-height-percent:200;mso-height-percent:200;mso-width-relative:margin;mso-height-relative:margin" fillcolor="white [3212]" stroked="f">
            <v:textbox style="mso-next-textbox:#_x0000_s1161;mso-fit-shape-to-text:t">
              <w:txbxContent>
                <w:p w:rsidR="00AC7D7B" w:rsidRDefault="00AC7D7B" w:rsidP="007467DF">
                  <w:r>
                    <w:t>115</w:t>
                  </w:r>
                </w:p>
              </w:txbxContent>
            </v:textbox>
          </v:shape>
        </w:pict>
      </w:r>
      <w:r w:rsidR="00197AA0" w:rsidRPr="005F780E">
        <w:rPr>
          <w:rFonts w:ascii="Arial" w:hAnsi="Arial" w:cs="Arial"/>
          <w:sz w:val="22"/>
          <w:szCs w:val="22"/>
        </w:rPr>
        <w:t xml:space="preserve">En el orden de las ideas anteriores, la vida marina también puede verse afectada por las operaciones de limpieza ó indirectamente, a través del daño físico a sus hábitats ya que los derrames accidentales son por lo general de máxima preocupación y a </w:t>
      </w:r>
      <w:r w:rsidR="00197AA0" w:rsidRPr="005F780E">
        <w:rPr>
          <w:rFonts w:ascii="Arial" w:hAnsi="Arial" w:cs="Arial"/>
          <w:sz w:val="22"/>
          <w:szCs w:val="22"/>
        </w:rPr>
        <w:lastRenderedPageBreak/>
        <w:t>menudo dan origen a una contaminación del lecho marino. Según la Ley General de Hidrocarburos de El Salvador en el artículo primero, párrafo segundo, se entenderá por hidrocarburos, los compuestos formados por átomos de carbono e hidrógeno, enlazados en diferentes proporciones y formas químicas, sean éstos saturados, (sin doble enlace) ó insaturados, (con uno o más enlaces dobles) en cadena lineal, formando anillo o combinaciones de estos arreglos, en cualquier estado físico, sólido, líquido o gaseoso, pudiendo contener no hidrocarburos, considerados como impurezas. Se comprende entre los hidrocarburos, el petróleo, el gas natural, el gas licuado de petróleo G.L.P</w:t>
      </w:r>
      <w:r w:rsidR="00197AA0" w:rsidRPr="005F780E">
        <w:rPr>
          <w:rStyle w:val="Refdenotaalpie"/>
          <w:rFonts w:ascii="Arial" w:hAnsi="Arial" w:cs="Arial"/>
          <w:sz w:val="22"/>
          <w:szCs w:val="22"/>
        </w:rPr>
        <w:footnoteReference w:customMarkFollows="1" w:id="174"/>
        <w:sym w:font="Symbol" w:char="F02A"/>
      </w:r>
      <w:r w:rsidR="00197AA0" w:rsidRPr="005F780E">
        <w:rPr>
          <w:rFonts w:ascii="Arial" w:hAnsi="Arial" w:cs="Arial"/>
          <w:sz w:val="22"/>
          <w:szCs w:val="22"/>
        </w:rPr>
        <w:t>, las gasolinas, el aceite diesel, el fuel oil, la kerosina</w:t>
      </w:r>
      <w:r w:rsidR="00197AA0" w:rsidRPr="005F780E">
        <w:rPr>
          <w:rStyle w:val="Refdenotaalpie"/>
          <w:rFonts w:ascii="Arial" w:hAnsi="Arial" w:cs="Arial"/>
          <w:sz w:val="22"/>
          <w:szCs w:val="22"/>
        </w:rPr>
        <w:footnoteReference w:customMarkFollows="1" w:id="175"/>
        <w:sym w:font="Symbol" w:char="F02A"/>
      </w:r>
      <w:r w:rsidR="00197AA0" w:rsidRPr="005F780E">
        <w:rPr>
          <w:rFonts w:ascii="Arial" w:hAnsi="Arial" w:cs="Arial"/>
          <w:sz w:val="22"/>
          <w:szCs w:val="22"/>
        </w:rPr>
        <w:t xml:space="preserve"> o gas común, el turbo fuel</w:t>
      </w:r>
      <w:r w:rsidR="00197AA0" w:rsidRPr="005F780E">
        <w:rPr>
          <w:rStyle w:val="Refdenotaalpie"/>
          <w:rFonts w:ascii="Arial" w:hAnsi="Arial" w:cs="Arial"/>
          <w:sz w:val="22"/>
          <w:szCs w:val="22"/>
        </w:rPr>
        <w:footnoteReference w:customMarkFollows="1" w:id="176"/>
        <w:sym w:font="Symbol" w:char="F02A"/>
      </w:r>
      <w:r w:rsidR="00197AA0" w:rsidRPr="005F780E">
        <w:rPr>
          <w:rStyle w:val="Refdenotaalpie"/>
          <w:rFonts w:ascii="Arial" w:hAnsi="Arial" w:cs="Arial"/>
          <w:sz w:val="22"/>
          <w:szCs w:val="22"/>
        </w:rPr>
        <w:sym w:font="Symbol" w:char="F02A"/>
      </w:r>
      <w:r w:rsidR="00197AA0" w:rsidRPr="005F780E">
        <w:rPr>
          <w:rFonts w:ascii="Arial" w:hAnsi="Arial" w:cs="Arial"/>
          <w:sz w:val="22"/>
          <w:szCs w:val="22"/>
        </w:rPr>
        <w:t xml:space="preserve"> o combustible para aviones y los asfaltos.</w:t>
      </w: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Cabe destacar que se retoman estos datos anteriormente expuestos debido a la importancia que estos representan al momento de cualquier derrame o vertido, que pueda surgir en la zona del Golfo de Fonseca, y así conocer los diferentes tipos de hidrocarburo que podrían ser derramados en la zona, ya que cada uno tiene diferentes consecuencias para el medio marino, esto debido a que unos resultan más tóxicos y dañinos que otros derivados.</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Es así que al considerar el destino del hidrocarburo derramado en el mar, con frecuencia se hace la distinción entre hidrocarburo no-persistentes, que tiende a desaparecer de la superficie del mar y los hidrocarburos persistentes, que por el contrario se disipan más lentamente y por lo general requieren de una reacción de limpieza. Los hidrocarburos no-persistentes incluyen gasolina, nafta, kerosén y diesel, mientras que la mayoría de los crudos y productos refinados pesados tienen diferentes grados de persistencia dependiendo de sus propiedades físicas y del tamaño del derrame. Cuando se vierte petróleo en el mar, la mancha de aceite se extiende en una superficie cada vez mayor hasta llegar a formar una capa muy extensa, de un espesor muy delgado. Se estima que en el transcurso de 1½ hora, 1 m3 de petróleo puede llegar a formar una mancha de 100 m de diámetro y 0,1 mm de espesor. Una gran parte del petróleo sobre el </w:t>
      </w:r>
      <w:r w:rsidRPr="005F780E">
        <w:rPr>
          <w:rFonts w:ascii="Arial" w:hAnsi="Arial" w:cs="Arial"/>
          <w:color w:val="000000"/>
          <w:sz w:val="22"/>
          <w:szCs w:val="22"/>
        </w:rPr>
        <w:lastRenderedPageBreak/>
        <w:t>60% se evapora, y el petróleo evaporado es descompuesto por foto-oxidación</w:t>
      </w:r>
      <w:r w:rsidRPr="005F780E">
        <w:rPr>
          <w:rStyle w:val="Refdenotaalpie"/>
          <w:rFonts w:ascii="Arial" w:hAnsi="Arial" w:cs="Arial"/>
          <w:color w:val="000000"/>
          <w:sz w:val="22"/>
          <w:szCs w:val="22"/>
        </w:rPr>
        <w:footnoteReference w:customMarkFollows="1" w:id="177"/>
        <w:sym w:font="Symbol" w:char="F02A"/>
      </w:r>
      <w:r w:rsidRPr="005F780E">
        <w:rPr>
          <w:rStyle w:val="Refdenotaalpie"/>
          <w:rFonts w:ascii="Arial" w:hAnsi="Arial" w:cs="Arial"/>
          <w:color w:val="000000"/>
          <w:sz w:val="22"/>
          <w:szCs w:val="22"/>
        </w:rPr>
        <w:sym w:font="Symbol" w:char="F02A"/>
      </w:r>
      <w:r w:rsidRPr="005F780E">
        <w:rPr>
          <w:rStyle w:val="Refdenotaalpie"/>
          <w:rFonts w:ascii="Arial" w:hAnsi="Arial" w:cs="Arial"/>
          <w:color w:val="000000"/>
          <w:sz w:val="22"/>
          <w:szCs w:val="22"/>
        </w:rPr>
        <w:sym w:font="Symbol" w:char="F02A"/>
      </w:r>
      <w:r w:rsidRPr="005F780E">
        <w:rPr>
          <w:rFonts w:ascii="Arial" w:hAnsi="Arial" w:cs="Arial"/>
          <w:color w:val="000000"/>
          <w:sz w:val="22"/>
          <w:szCs w:val="22"/>
        </w:rPr>
        <w:t xml:space="preserve"> en la atmósfera</w:t>
      </w:r>
      <w:r w:rsidRPr="005F780E">
        <w:rPr>
          <w:rStyle w:val="Refdenotaalpie"/>
          <w:rFonts w:ascii="Arial" w:hAnsi="Arial" w:cs="Arial"/>
          <w:color w:val="000000"/>
          <w:sz w:val="22"/>
          <w:szCs w:val="22"/>
        </w:rPr>
        <w:footnoteReference w:id="178"/>
      </w:r>
      <w:r w:rsidRPr="005F780E">
        <w:rPr>
          <w:rFonts w:ascii="Arial" w:hAnsi="Arial" w:cs="Arial"/>
          <w:color w:val="000000"/>
          <w:sz w:val="22"/>
          <w:szCs w:val="22"/>
        </w:rPr>
        <w:t>.</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Pr="005F780E" w:rsidRDefault="001D7573" w:rsidP="00232C32">
      <w:pPr>
        <w:spacing w:line="360" w:lineRule="auto"/>
        <w:ind w:right="44" w:firstLine="567"/>
        <w:jc w:val="both"/>
        <w:rPr>
          <w:rFonts w:ascii="Arial" w:hAnsi="Arial" w:cs="Arial"/>
          <w:color w:val="000000"/>
          <w:sz w:val="22"/>
          <w:szCs w:val="22"/>
        </w:rPr>
      </w:pPr>
      <w:r>
        <w:rPr>
          <w:rFonts w:ascii="Arial" w:hAnsi="Arial" w:cs="Arial"/>
          <w:noProof/>
          <w:color w:val="000000"/>
          <w:sz w:val="22"/>
          <w:szCs w:val="22"/>
        </w:rPr>
        <w:pict>
          <v:shape id="_x0000_s1164" type="#_x0000_t202" style="position:absolute;left:0;text-align:left;margin-left:178.25pt;margin-top:274.65pt;width:48.4pt;height:21pt;z-index:251793408;mso-height-percent:200;mso-height-percent:200;mso-width-relative:margin;mso-height-relative:margin" fillcolor="white [3212]" stroked="f">
            <v:textbox style="mso-next-textbox:#_x0000_s1164;mso-fit-shape-to-text:t">
              <w:txbxContent>
                <w:p w:rsidR="00AC7D7B" w:rsidRDefault="00AC7D7B" w:rsidP="007467DF">
                  <w:r>
                    <w:t>116</w:t>
                  </w:r>
                </w:p>
              </w:txbxContent>
            </v:textbox>
          </v:shape>
        </w:pict>
      </w:r>
      <w:r w:rsidR="00197AA0" w:rsidRPr="005F780E">
        <w:rPr>
          <w:rFonts w:ascii="Arial" w:hAnsi="Arial" w:cs="Arial"/>
          <w:color w:val="000000"/>
          <w:sz w:val="22"/>
          <w:szCs w:val="22"/>
        </w:rPr>
        <w:t xml:space="preserve">Del crudo que queda en el agua, una parte sufre foto-oxidación, otra parte se disuelve en el agua  y esto resulta más peligroso, y lo que queda forma una gelatina de agua y aceite que se convierte en bolas de alquitrán densas, semisólidas, con aspecto asfáltico. Los componentes más tóxicos o más venenosos del petróleo son los compuestos volátiles, estos compuestos se evaporan a bajas temperaturas, y los compuestos solubles en agua que son capaces de disolverse en esta misma superficie. Sin embargo, los productos refinados del petróleo, es decir la gasolina, kerosén, asfalto, aceite combustible, y otros productos petroquímicos no son naturales. </w:t>
      </w: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Los efectos del petróleo sobre los ecosistemas marinos dependen de varios factores, entre los que se cuentan: tipo de petróleo, ya sea crudo o refinado, así como también la cantidad, distancia del sitio contaminado con la playa, época del año, condiciones atmosféricas, temperatura media del agua y corrientes oceánicas. </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La forma en que el petróleo derramado afecta a la fauna es variada y compleja. Los datos acumulados a lo largo de varios derrames de petróleo han mostrado que en el mejor de los casos sólo un cuarto de las aves contaminadas llegan muertas o vivas a tierra, el resto desaparece en el mar o se hunden porque no pueden volar. </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Pr="005F780E"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La mayoría de los ecosistemas marinos expuestos a grandes cantidades de petróleo crudo requieren unos 3 años para su recuperación. Sin embargo, los ecosistemas marinos contaminados por petróleo refinado, en especial en los estuarios</w:t>
      </w:r>
      <w:r w:rsidRPr="005F780E">
        <w:rPr>
          <w:rStyle w:val="Refdenotaalpie"/>
          <w:rFonts w:ascii="Arial" w:hAnsi="Arial" w:cs="Arial"/>
          <w:color w:val="000000"/>
          <w:sz w:val="22"/>
          <w:szCs w:val="22"/>
        </w:rPr>
        <w:footnoteReference w:customMarkFollows="1" w:id="179"/>
        <w:sym w:font="Symbol" w:char="F02A"/>
      </w:r>
      <w:r w:rsidRPr="005F780E">
        <w:rPr>
          <w:rFonts w:ascii="Arial" w:hAnsi="Arial" w:cs="Arial"/>
          <w:color w:val="000000"/>
          <w:sz w:val="22"/>
          <w:szCs w:val="22"/>
        </w:rPr>
        <w:t>, requieren de 10 años o más para su recuperación. Las principales propiedades físicas que afectan el comportamiento de un hidrocarburo derramado en el mar son</w:t>
      </w:r>
      <w:r w:rsidRPr="005F780E">
        <w:rPr>
          <w:rStyle w:val="Refdenotaalpie"/>
          <w:rFonts w:ascii="Arial" w:hAnsi="Arial" w:cs="Arial"/>
          <w:color w:val="000000"/>
          <w:sz w:val="22"/>
          <w:szCs w:val="22"/>
        </w:rPr>
        <w:footnoteReference w:id="180"/>
      </w:r>
      <w:r w:rsidRPr="005F780E">
        <w:rPr>
          <w:rFonts w:ascii="Arial" w:hAnsi="Arial" w:cs="Arial"/>
          <w:color w:val="000000"/>
          <w:sz w:val="22"/>
          <w:szCs w:val="22"/>
        </w:rPr>
        <w:t>:</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Pr="005F780E" w:rsidRDefault="00197AA0" w:rsidP="00232C32">
      <w:pPr>
        <w:numPr>
          <w:ilvl w:val="0"/>
          <w:numId w:val="19"/>
        </w:numPr>
        <w:tabs>
          <w:tab w:val="clear" w:pos="720"/>
          <w:tab w:val="num" w:pos="1061"/>
        </w:tabs>
        <w:suppressAutoHyphens/>
        <w:spacing w:after="200" w:line="360" w:lineRule="auto"/>
        <w:ind w:left="1061" w:right="44"/>
        <w:jc w:val="both"/>
        <w:rPr>
          <w:rFonts w:ascii="Arial" w:hAnsi="Arial" w:cs="Arial"/>
          <w:color w:val="000000"/>
          <w:sz w:val="22"/>
          <w:szCs w:val="22"/>
        </w:rPr>
      </w:pPr>
      <w:r w:rsidRPr="005F780E">
        <w:rPr>
          <w:rFonts w:ascii="Arial" w:hAnsi="Arial" w:cs="Arial"/>
          <w:color w:val="000000"/>
          <w:sz w:val="22"/>
          <w:szCs w:val="22"/>
        </w:rPr>
        <w:lastRenderedPageBreak/>
        <w:t xml:space="preserve">Gravedad específica: Es su densidad en relación con el agua pura, la mayoría de los hidrocarburos son más livianos que el agua y tienen una gravedad específica por debajo de 1. </w:t>
      </w:r>
    </w:p>
    <w:p w:rsidR="00197AA0" w:rsidRPr="005F780E" w:rsidRDefault="00197AA0" w:rsidP="00232C32">
      <w:pPr>
        <w:numPr>
          <w:ilvl w:val="0"/>
          <w:numId w:val="19"/>
        </w:numPr>
        <w:tabs>
          <w:tab w:val="clear" w:pos="720"/>
          <w:tab w:val="num" w:pos="1061"/>
        </w:tabs>
        <w:suppressAutoHyphens/>
        <w:spacing w:before="280" w:after="280" w:line="360" w:lineRule="auto"/>
        <w:ind w:left="1061" w:right="44"/>
        <w:jc w:val="both"/>
        <w:rPr>
          <w:rFonts w:ascii="Arial" w:hAnsi="Arial" w:cs="Arial"/>
          <w:color w:val="000000"/>
          <w:sz w:val="22"/>
          <w:szCs w:val="22"/>
        </w:rPr>
      </w:pPr>
      <w:r w:rsidRPr="005F780E">
        <w:rPr>
          <w:rFonts w:ascii="Arial" w:hAnsi="Arial" w:cs="Arial"/>
          <w:color w:val="000000"/>
          <w:sz w:val="22"/>
          <w:szCs w:val="22"/>
        </w:rPr>
        <w:t xml:space="preserve">Características de destilación: Describen su volatilidad, a medida que se eleva la temperatura de un hidrocarburo, diferentes componentes alcanzan su punto de ebullición y son destilados. </w:t>
      </w:r>
    </w:p>
    <w:p w:rsidR="00197AA0" w:rsidRPr="005F780E" w:rsidRDefault="00197AA0" w:rsidP="00232C32">
      <w:pPr>
        <w:numPr>
          <w:ilvl w:val="0"/>
          <w:numId w:val="19"/>
        </w:numPr>
        <w:tabs>
          <w:tab w:val="clear" w:pos="720"/>
          <w:tab w:val="num" w:pos="1061"/>
        </w:tabs>
        <w:suppressAutoHyphens/>
        <w:spacing w:after="200" w:line="360" w:lineRule="auto"/>
        <w:ind w:left="1061" w:right="44"/>
        <w:jc w:val="both"/>
        <w:rPr>
          <w:rFonts w:ascii="Arial" w:hAnsi="Arial" w:cs="Arial"/>
          <w:color w:val="000000"/>
          <w:sz w:val="22"/>
          <w:szCs w:val="22"/>
        </w:rPr>
      </w:pPr>
      <w:r w:rsidRPr="005F780E">
        <w:rPr>
          <w:rFonts w:ascii="Arial" w:hAnsi="Arial" w:cs="Arial"/>
          <w:color w:val="000000"/>
          <w:sz w:val="22"/>
          <w:szCs w:val="22"/>
        </w:rPr>
        <w:t xml:space="preserve">Viscosidad: Es su resistencia al flujo, los hidrocarburos de alta viscosidad fluyen con dificultad, mientras que aquellos con baja viscosidad son altamente móviles. </w:t>
      </w:r>
    </w:p>
    <w:p w:rsidR="00197AA0" w:rsidRPr="005F780E" w:rsidRDefault="001D7573" w:rsidP="00232C32">
      <w:pPr>
        <w:numPr>
          <w:ilvl w:val="0"/>
          <w:numId w:val="19"/>
        </w:numPr>
        <w:tabs>
          <w:tab w:val="clear" w:pos="720"/>
          <w:tab w:val="num" w:pos="1061"/>
        </w:tabs>
        <w:suppressAutoHyphens/>
        <w:spacing w:after="200" w:line="360" w:lineRule="auto"/>
        <w:ind w:left="1061" w:right="44"/>
        <w:jc w:val="both"/>
        <w:rPr>
          <w:rFonts w:ascii="Arial" w:hAnsi="Arial" w:cs="Arial"/>
          <w:color w:val="000000"/>
          <w:sz w:val="22"/>
          <w:szCs w:val="22"/>
        </w:rPr>
      </w:pPr>
      <w:r>
        <w:rPr>
          <w:rFonts w:ascii="Arial" w:hAnsi="Arial" w:cs="Arial"/>
          <w:noProof/>
          <w:color w:val="000000"/>
          <w:sz w:val="22"/>
          <w:szCs w:val="22"/>
        </w:rPr>
        <w:pict>
          <v:shape id="_x0000_s1163" type="#_x0000_t202" style="position:absolute;left:0;text-align:left;margin-left:219.65pt;margin-top:169.2pt;width:45pt;height:21pt;z-index:251792384;mso-height-percent:200;mso-height-percent:200;mso-width-relative:margin;mso-height-relative:margin" fillcolor="white [3212]" stroked="f">
            <v:textbox style="mso-next-textbox:#_x0000_s1163;mso-fit-shape-to-text:t">
              <w:txbxContent>
                <w:p w:rsidR="00AC7D7B" w:rsidRDefault="00AC7D7B" w:rsidP="007467DF">
                  <w:r>
                    <w:t>117</w:t>
                  </w:r>
                </w:p>
              </w:txbxContent>
            </v:textbox>
          </v:shape>
        </w:pict>
      </w:r>
      <w:r w:rsidR="00197AA0" w:rsidRPr="005F780E">
        <w:rPr>
          <w:rFonts w:ascii="Arial" w:hAnsi="Arial" w:cs="Arial"/>
          <w:color w:val="000000"/>
          <w:sz w:val="22"/>
          <w:szCs w:val="22"/>
        </w:rPr>
        <w:t xml:space="preserve">Punto de fluidez: Es la temperatura por debajo de la cual el hidrocarburo no fluye. Si la temperatura del ambiente está por debajo del punto de fluidez, el hidrocarburo se comportará esencialmente como un sólido. </w:t>
      </w: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Hay que recalcar que los derrames de hidrocarburos se presentan según la localización geográfica y las condiciones especiales de los territorios, entre ellos el número de vertientes, la abundancia de ríos, variedad de lagos, zonas marinas y continentales, biodiversidad y por consiguiente obligado a su preservación. En un país como El Salvador potencialmente vulnerable a eventos de origen natural, un derrame o vertido de hidrocarburo llevaría al país a una mayor inestabilidad.</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Es así como la probabilidad de ser afectado por contaminación proveniente de derrame de hidrocarburos, derivados y sustancias nocivas a lo largo y ancho del territorio salvadoreño, son cuestiones de carácter nacional y por ende del Plan Nacional contra Derrames de Hidrocarburos, que estipula una zonificación nacional para la aplicación del mismo. De ahí que se haya elaborado tal plan, pero este no ha sido terminado del todo; el último borrador de tal plan fue construido en 2006, y sometido a correcciones en 2008, año en el cual surge la primera versión. A lo largo de los subsecuentes años se han realizado actualizaciones mínimas, de contactos y de revisión de equipamiento, más no de estructura y de fondo.</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Ante lo anteriormente planteado es importante aclarar que El Salvador no cuenta con una sólida política que vaya encaminada a prevenir la contaminación por hidrocarburo, debido a que el actual Plan Nacional Contra Derrames de Hidrocarburos, se </w:t>
      </w:r>
      <w:r w:rsidRPr="005F780E">
        <w:rPr>
          <w:rFonts w:ascii="Arial" w:hAnsi="Arial" w:cs="Arial"/>
          <w:sz w:val="22"/>
          <w:szCs w:val="22"/>
        </w:rPr>
        <w:lastRenderedPageBreak/>
        <w:t>encuentra bastante desfasado y no se acopla a la actual realidad nacional de El Salvador en el cual se busque crear y promover un fortalecido desarrollo portuario, tal es el caso del Puerto de La Unión.</w:t>
      </w:r>
    </w:p>
    <w:p w:rsidR="00197AA0" w:rsidRPr="005F780E" w:rsidRDefault="00197AA0" w:rsidP="00232C32">
      <w:pPr>
        <w:spacing w:line="360" w:lineRule="auto"/>
        <w:ind w:right="44" w:firstLine="567"/>
        <w:jc w:val="both"/>
        <w:rPr>
          <w:rFonts w:ascii="Arial" w:hAnsi="Arial" w:cs="Arial"/>
          <w:sz w:val="22"/>
          <w:szCs w:val="22"/>
        </w:rPr>
      </w:pPr>
    </w:p>
    <w:p w:rsidR="00197AA0" w:rsidRPr="005F780E"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sz w:val="22"/>
          <w:szCs w:val="22"/>
        </w:rPr>
        <w:t>Al mismo tiempo deja entrever que la Dirección de Protección Civil está en etapa de atención a las áreas de organización, estructura y evaluación, es decir que aún no se está preparado para una etapa operativa y técnica, sobre todo cuando se refiere a la formación de personal especializado y preparado para eventuales incidentes de contaminación por hidrocarburos en los espacios marítimos del Puerto de La Unión. En este mismo sentido no se cuenta con un centro de capacitación o por lo menos con una base de datos con personal capacitado</w:t>
      </w:r>
      <w:r w:rsidRPr="005F780E">
        <w:rPr>
          <w:rStyle w:val="Refdenotaalpie"/>
          <w:rFonts w:ascii="Arial" w:hAnsi="Arial" w:cs="Arial"/>
          <w:sz w:val="22"/>
          <w:szCs w:val="22"/>
        </w:rPr>
        <w:footnoteReference w:id="181"/>
      </w:r>
      <w:r w:rsidRPr="005F780E">
        <w:rPr>
          <w:rFonts w:ascii="Arial" w:hAnsi="Arial" w:cs="Arial"/>
          <w:sz w:val="22"/>
          <w:szCs w:val="22"/>
        </w:rPr>
        <w:t>.</w:t>
      </w:r>
    </w:p>
    <w:p w:rsidR="00197AA0" w:rsidRPr="005F780E"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 </w:t>
      </w:r>
    </w:p>
    <w:p w:rsidR="00197AA0" w:rsidRDefault="001D7573" w:rsidP="00232C32">
      <w:pPr>
        <w:spacing w:line="360" w:lineRule="auto"/>
        <w:ind w:right="44"/>
        <w:jc w:val="both"/>
        <w:rPr>
          <w:rFonts w:ascii="Arial" w:hAnsi="Arial" w:cs="Arial"/>
          <w:b/>
          <w:bCs/>
          <w:color w:val="000000"/>
          <w:sz w:val="22"/>
          <w:szCs w:val="22"/>
        </w:rPr>
      </w:pPr>
      <w:r w:rsidRPr="001D7573">
        <w:rPr>
          <w:rFonts w:ascii="Arial" w:hAnsi="Arial" w:cs="Arial"/>
          <w:noProof/>
          <w:sz w:val="22"/>
          <w:szCs w:val="22"/>
        </w:rPr>
        <w:pict>
          <v:shape id="_x0000_s1166" type="#_x0000_t202" style="position:absolute;left:0;text-align:left;margin-left:155.85pt;margin-top:72.85pt;width:48.4pt;height:21pt;z-index:251795456;mso-height-percent:200;mso-height-percent:200;mso-width-relative:margin;mso-height-relative:margin" fillcolor="white [3212]" stroked="f">
            <v:textbox style="mso-next-textbox:#_x0000_s1166;mso-fit-shape-to-text:t">
              <w:txbxContent>
                <w:p w:rsidR="00AC7D7B" w:rsidRDefault="00AC7D7B" w:rsidP="007467DF">
                  <w:r>
                    <w:t>118</w:t>
                  </w:r>
                </w:p>
              </w:txbxContent>
            </v:textbox>
          </v:shape>
        </w:pict>
      </w:r>
    </w:p>
    <w:p w:rsidR="00197AA0" w:rsidRPr="005F780E" w:rsidRDefault="00197AA0" w:rsidP="00232C32">
      <w:pPr>
        <w:spacing w:line="360" w:lineRule="auto"/>
        <w:ind w:right="44"/>
        <w:jc w:val="both"/>
        <w:rPr>
          <w:rFonts w:ascii="Arial" w:hAnsi="Arial" w:cs="Arial"/>
          <w:b/>
          <w:bCs/>
          <w:color w:val="000000"/>
          <w:sz w:val="22"/>
          <w:szCs w:val="22"/>
        </w:rPr>
      </w:pPr>
      <w:r w:rsidRPr="005F780E">
        <w:rPr>
          <w:rFonts w:ascii="Arial" w:hAnsi="Arial" w:cs="Arial"/>
          <w:b/>
          <w:bCs/>
          <w:color w:val="000000"/>
          <w:sz w:val="22"/>
          <w:szCs w:val="22"/>
        </w:rPr>
        <w:t xml:space="preserve">3.2.1 Efectos de los derrames de hidrocarburos </w:t>
      </w:r>
    </w:p>
    <w:p w:rsidR="00197AA0" w:rsidRDefault="00197AA0" w:rsidP="00232C32">
      <w:pPr>
        <w:spacing w:line="360" w:lineRule="auto"/>
        <w:ind w:right="44" w:firstLine="567"/>
        <w:jc w:val="both"/>
        <w:rPr>
          <w:rFonts w:ascii="Arial" w:hAnsi="Arial" w:cs="Arial"/>
          <w:sz w:val="22"/>
          <w:szCs w:val="22"/>
        </w:rPr>
      </w:pPr>
    </w:p>
    <w:p w:rsidR="00197AA0" w:rsidRPr="005F780E"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En el caso que sucediera una contaminación por hidrocarburo en la zona del Golfo del Fonseca, el petróleo o cualquier tipo de hidrocarburos, crudo o refinado, dañaría los ecosistemas marinos produciendo uno o varios de los efectos que se mencionan a continuación: </w:t>
      </w:r>
    </w:p>
    <w:p w:rsidR="00197AA0" w:rsidRPr="005F780E" w:rsidRDefault="00197AA0" w:rsidP="00232C32">
      <w:pPr>
        <w:numPr>
          <w:ilvl w:val="0"/>
          <w:numId w:val="20"/>
        </w:numPr>
        <w:tabs>
          <w:tab w:val="clear" w:pos="720"/>
          <w:tab w:val="num" w:pos="1241"/>
        </w:tabs>
        <w:suppressAutoHyphens/>
        <w:spacing w:before="280" w:after="280" w:line="360" w:lineRule="auto"/>
        <w:ind w:left="1241" w:right="44"/>
        <w:jc w:val="both"/>
        <w:rPr>
          <w:rFonts w:ascii="Arial" w:hAnsi="Arial" w:cs="Arial"/>
          <w:sz w:val="22"/>
          <w:szCs w:val="22"/>
        </w:rPr>
      </w:pPr>
      <w:r w:rsidRPr="005F780E">
        <w:rPr>
          <w:rFonts w:ascii="Arial" w:hAnsi="Arial" w:cs="Arial"/>
          <w:sz w:val="22"/>
          <w:szCs w:val="22"/>
        </w:rPr>
        <w:t xml:space="preserve">Muerte de los organismos por asfixia. </w:t>
      </w:r>
    </w:p>
    <w:p w:rsidR="00197AA0" w:rsidRPr="005F780E" w:rsidRDefault="00197AA0" w:rsidP="00232C32">
      <w:pPr>
        <w:numPr>
          <w:ilvl w:val="0"/>
          <w:numId w:val="20"/>
        </w:numPr>
        <w:tabs>
          <w:tab w:val="clear" w:pos="720"/>
          <w:tab w:val="num" w:pos="1241"/>
        </w:tabs>
        <w:suppressAutoHyphens/>
        <w:spacing w:before="280" w:after="280" w:line="360" w:lineRule="auto"/>
        <w:ind w:left="1241" w:right="44"/>
        <w:jc w:val="both"/>
        <w:rPr>
          <w:rFonts w:ascii="Arial" w:hAnsi="Arial" w:cs="Arial"/>
          <w:sz w:val="22"/>
          <w:szCs w:val="22"/>
        </w:rPr>
      </w:pPr>
      <w:r w:rsidRPr="005F780E">
        <w:rPr>
          <w:rFonts w:ascii="Arial" w:hAnsi="Arial" w:cs="Arial"/>
          <w:sz w:val="22"/>
          <w:szCs w:val="22"/>
        </w:rPr>
        <w:t xml:space="preserve">Muerte de los organismos por envenenamiento, sea por absorción, o por contacto. </w:t>
      </w:r>
    </w:p>
    <w:p w:rsidR="00197AA0" w:rsidRPr="005F780E" w:rsidRDefault="00197AA0" w:rsidP="00232C32">
      <w:pPr>
        <w:numPr>
          <w:ilvl w:val="0"/>
          <w:numId w:val="20"/>
        </w:numPr>
        <w:tabs>
          <w:tab w:val="clear" w:pos="720"/>
          <w:tab w:val="num" w:pos="1241"/>
        </w:tabs>
        <w:suppressAutoHyphens/>
        <w:spacing w:before="280" w:after="280" w:line="360" w:lineRule="auto"/>
        <w:ind w:left="1241" w:right="44"/>
        <w:jc w:val="both"/>
        <w:rPr>
          <w:rFonts w:ascii="Arial" w:hAnsi="Arial" w:cs="Arial"/>
          <w:sz w:val="22"/>
          <w:szCs w:val="22"/>
        </w:rPr>
      </w:pPr>
      <w:r w:rsidRPr="005F780E">
        <w:rPr>
          <w:rFonts w:ascii="Arial" w:hAnsi="Arial" w:cs="Arial"/>
          <w:sz w:val="22"/>
          <w:szCs w:val="22"/>
        </w:rPr>
        <w:t xml:space="preserve">Muerte por exposición a los componentes tóxicos del petróleo, solubles en agua. </w:t>
      </w:r>
    </w:p>
    <w:p w:rsidR="00197AA0" w:rsidRPr="005F780E" w:rsidRDefault="00197AA0" w:rsidP="00232C32">
      <w:pPr>
        <w:numPr>
          <w:ilvl w:val="0"/>
          <w:numId w:val="20"/>
        </w:numPr>
        <w:tabs>
          <w:tab w:val="clear" w:pos="720"/>
          <w:tab w:val="num" w:pos="1241"/>
        </w:tabs>
        <w:suppressAutoHyphens/>
        <w:spacing w:before="280" w:after="280" w:line="360" w:lineRule="auto"/>
        <w:ind w:left="1241" w:right="44"/>
        <w:jc w:val="both"/>
        <w:rPr>
          <w:rFonts w:ascii="Arial" w:hAnsi="Arial" w:cs="Arial"/>
          <w:sz w:val="22"/>
          <w:szCs w:val="22"/>
        </w:rPr>
      </w:pPr>
      <w:r w:rsidRPr="005F780E">
        <w:rPr>
          <w:rFonts w:ascii="Arial" w:hAnsi="Arial" w:cs="Arial"/>
          <w:sz w:val="22"/>
          <w:szCs w:val="22"/>
        </w:rPr>
        <w:t xml:space="preserve">Destrucción de los organismos jóvenes o recién nacidos. </w:t>
      </w:r>
    </w:p>
    <w:p w:rsidR="00197AA0" w:rsidRPr="005F780E" w:rsidRDefault="00197AA0" w:rsidP="00232C32">
      <w:pPr>
        <w:numPr>
          <w:ilvl w:val="0"/>
          <w:numId w:val="20"/>
        </w:numPr>
        <w:tabs>
          <w:tab w:val="clear" w:pos="720"/>
          <w:tab w:val="num" w:pos="1241"/>
        </w:tabs>
        <w:suppressAutoHyphens/>
        <w:spacing w:before="280" w:after="280" w:line="360" w:lineRule="auto"/>
        <w:ind w:left="1241" w:right="44"/>
        <w:jc w:val="both"/>
        <w:rPr>
          <w:rFonts w:ascii="Arial" w:hAnsi="Arial" w:cs="Arial"/>
          <w:sz w:val="22"/>
          <w:szCs w:val="22"/>
        </w:rPr>
      </w:pPr>
      <w:r w:rsidRPr="005F780E">
        <w:rPr>
          <w:rFonts w:ascii="Arial" w:hAnsi="Arial" w:cs="Arial"/>
          <w:sz w:val="22"/>
          <w:szCs w:val="22"/>
        </w:rPr>
        <w:t xml:space="preserve">Disminución de la resistencia o aumento de infecciones en las especies, especialmente avifauna, por absorción de ciertas cantidades sub-letales de petróleo. </w:t>
      </w:r>
    </w:p>
    <w:p w:rsidR="00197AA0" w:rsidRPr="005F780E" w:rsidRDefault="00197AA0" w:rsidP="00232C32">
      <w:pPr>
        <w:numPr>
          <w:ilvl w:val="0"/>
          <w:numId w:val="20"/>
        </w:numPr>
        <w:tabs>
          <w:tab w:val="clear" w:pos="720"/>
          <w:tab w:val="num" w:pos="1241"/>
        </w:tabs>
        <w:suppressAutoHyphens/>
        <w:spacing w:before="280" w:after="280" w:line="360" w:lineRule="auto"/>
        <w:ind w:left="1241" w:right="44"/>
        <w:jc w:val="both"/>
        <w:rPr>
          <w:rFonts w:ascii="Arial" w:hAnsi="Arial" w:cs="Arial"/>
          <w:sz w:val="22"/>
          <w:szCs w:val="22"/>
        </w:rPr>
      </w:pPr>
      <w:r w:rsidRPr="005F780E">
        <w:rPr>
          <w:rFonts w:ascii="Arial" w:hAnsi="Arial" w:cs="Arial"/>
          <w:sz w:val="22"/>
          <w:szCs w:val="22"/>
        </w:rPr>
        <w:lastRenderedPageBreak/>
        <w:t xml:space="preserve">Efectos negativos sobre la reproducción y propagación a la fauna y flora marina. </w:t>
      </w:r>
    </w:p>
    <w:p w:rsidR="00197AA0" w:rsidRPr="005F780E" w:rsidRDefault="00197AA0" w:rsidP="00232C32">
      <w:pPr>
        <w:numPr>
          <w:ilvl w:val="0"/>
          <w:numId w:val="20"/>
        </w:numPr>
        <w:tabs>
          <w:tab w:val="clear" w:pos="720"/>
          <w:tab w:val="num" w:pos="1241"/>
        </w:tabs>
        <w:suppressAutoHyphens/>
        <w:spacing w:before="280" w:after="280" w:line="360" w:lineRule="auto"/>
        <w:ind w:left="1241" w:right="44"/>
        <w:jc w:val="both"/>
        <w:rPr>
          <w:rFonts w:ascii="Arial" w:hAnsi="Arial" w:cs="Arial"/>
          <w:sz w:val="22"/>
          <w:szCs w:val="22"/>
        </w:rPr>
      </w:pPr>
      <w:r w:rsidRPr="005F780E">
        <w:rPr>
          <w:rFonts w:ascii="Arial" w:hAnsi="Arial" w:cs="Arial"/>
          <w:sz w:val="22"/>
          <w:szCs w:val="22"/>
        </w:rPr>
        <w:t xml:space="preserve">Destrucción de las fuentes alimenticias de las especies superiores. </w:t>
      </w:r>
    </w:p>
    <w:p w:rsidR="00197AA0" w:rsidRPr="005F780E" w:rsidRDefault="00197AA0" w:rsidP="00232C32">
      <w:pPr>
        <w:numPr>
          <w:ilvl w:val="0"/>
          <w:numId w:val="20"/>
        </w:numPr>
        <w:tabs>
          <w:tab w:val="clear" w:pos="720"/>
          <w:tab w:val="num" w:pos="1241"/>
        </w:tabs>
        <w:suppressAutoHyphens/>
        <w:spacing w:after="200" w:line="360" w:lineRule="auto"/>
        <w:ind w:left="1241" w:right="44"/>
        <w:jc w:val="both"/>
        <w:rPr>
          <w:rFonts w:ascii="Arial" w:hAnsi="Arial" w:cs="Arial"/>
          <w:sz w:val="22"/>
          <w:szCs w:val="22"/>
        </w:rPr>
      </w:pPr>
      <w:r w:rsidRPr="005F780E">
        <w:rPr>
          <w:rFonts w:ascii="Arial" w:hAnsi="Arial" w:cs="Arial"/>
          <w:sz w:val="22"/>
          <w:szCs w:val="22"/>
        </w:rPr>
        <w:t xml:space="preserve">Incorporación de carcinógenos en la cadena alimentaria. </w:t>
      </w:r>
    </w:p>
    <w:p w:rsidR="00197AA0" w:rsidRPr="005F780E" w:rsidRDefault="00197AA0" w:rsidP="00232C32">
      <w:pPr>
        <w:spacing w:line="360" w:lineRule="auto"/>
        <w:ind w:left="1241" w:right="44"/>
        <w:jc w:val="both"/>
        <w:rPr>
          <w:rFonts w:ascii="Arial" w:hAnsi="Arial" w:cs="Arial"/>
          <w:sz w:val="22"/>
          <w:szCs w:val="22"/>
        </w:rPr>
      </w:pPr>
    </w:p>
    <w:p w:rsidR="00197AA0" w:rsidRPr="005F780E"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65" type="#_x0000_t202" style="position:absolute;left:0;text-align:left;margin-left:195.25pt;margin-top:175.25pt;width:45pt;height:21pt;z-index:251794432;mso-height-percent:200;mso-height-percent:200;mso-width-relative:margin;mso-height-relative:margin" fillcolor="white [3212]" stroked="f">
            <v:textbox style="mso-next-textbox:#_x0000_s1165;mso-fit-shape-to-text:t">
              <w:txbxContent>
                <w:p w:rsidR="00AC7D7B" w:rsidRDefault="00AC7D7B" w:rsidP="007467DF">
                  <w:r>
                    <w:t>119</w:t>
                  </w:r>
                </w:p>
              </w:txbxContent>
            </v:textbox>
          </v:shape>
        </w:pict>
      </w:r>
      <w:r w:rsidR="00197AA0" w:rsidRPr="005F780E">
        <w:rPr>
          <w:rFonts w:ascii="Arial" w:hAnsi="Arial" w:cs="Arial"/>
          <w:sz w:val="22"/>
          <w:szCs w:val="22"/>
        </w:rPr>
        <w:t xml:space="preserve">Los derrames de hidrocarburo pueden causar un serio impacto económico en las actividades costeras del Golfo de Fonseca y afectaría a los que explotan los recursos marinos. En la mayoría de los casos aunque dicho daño sea temporal y se deba principalmente a las propiedades físicas del crudo, producen condiciones molestas y peligrosas. El impacto sobre la vida marina se agrava por los efectos tóxicos e impregnación como resultado de la composición química del hidrocarburo, así como por la diversidad y variabilidad de los sistemas biológicos y su susceptibilidad a la contaminación. </w:t>
      </w: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La magnitud del daño ocasionado no siempre refleja la cantidad de hidrocarburo derramado, ya que una pequeña cantidad de hidrocarburo en un área susceptible puede ocasionar un daño mucho mayor que una gran cantidad en una costa rocosa desolada. </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Dentro de algunos impactos que generarían los derrames de hidrocarburos en la zona del Golfo de Fonseca y en los ecosistemas estratégicos del mismo, así como en los manglares afectados por hidrocarburo, se encuentran: la obstrucción de las aberturas de las raíces respiratorias o interferencia de el equilibrio de sales del árbol, ocasionando la caída de las hojas y la muerte de los árboles en arrecifes coralinos, también pueden ocurrir niveles sub letales tales como, la interferencia de los procesos reproductivos, comportamiento anormal y crecimiento reducido o retenido. La mayoría de los efectos son temporales pero efectos similares sobre la fauna asociada al arrecife pueden tener repercusiones mayores y por mucho más tiempo. </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Los crudos frescos y productos livianos refinados con una alta proporción de componentes tóxicos pueden ocasionar daño local a praderas de algas marinas y a diversos animales tales como mejillones, erizos de mar y gusanos y en las áreas costeras, algunos mamíferos marinos, como las focas, reptiles y tortugas pueden ser </w:t>
      </w:r>
      <w:r w:rsidRPr="005F780E">
        <w:rPr>
          <w:rFonts w:ascii="Arial" w:hAnsi="Arial" w:cs="Arial"/>
          <w:sz w:val="22"/>
          <w:szCs w:val="22"/>
        </w:rPr>
        <w:lastRenderedPageBreak/>
        <w:t xml:space="preserve">particularmente vulnerables a los efectos adversos de la contaminación de hidrocarburo, ya que necesitan salir a la superficie para respirar o dejar el agua para reproducirse. </w:t>
      </w:r>
    </w:p>
    <w:p w:rsidR="00197AA0" w:rsidRPr="005F780E" w:rsidRDefault="00197AA0" w:rsidP="00232C32">
      <w:pPr>
        <w:spacing w:line="360" w:lineRule="auto"/>
        <w:ind w:right="44" w:firstLine="567"/>
        <w:jc w:val="both"/>
        <w:rPr>
          <w:rFonts w:ascii="Arial" w:hAnsi="Arial" w:cs="Arial"/>
          <w:sz w:val="22"/>
          <w:szCs w:val="22"/>
        </w:rPr>
      </w:pPr>
    </w:p>
    <w:p w:rsidR="00197AA0" w:rsidRPr="005F780E" w:rsidRDefault="001D7573" w:rsidP="00232C32">
      <w:pPr>
        <w:spacing w:before="100" w:after="100" w:line="360" w:lineRule="auto"/>
        <w:ind w:right="44" w:firstLine="567"/>
        <w:jc w:val="both"/>
        <w:rPr>
          <w:rFonts w:ascii="Arial" w:hAnsi="Arial" w:cs="Arial"/>
          <w:sz w:val="22"/>
          <w:szCs w:val="22"/>
        </w:rPr>
      </w:pPr>
      <w:r>
        <w:rPr>
          <w:rFonts w:ascii="Arial" w:hAnsi="Arial" w:cs="Arial"/>
          <w:noProof/>
          <w:sz w:val="22"/>
          <w:szCs w:val="22"/>
        </w:rPr>
        <w:pict>
          <v:shape id="_x0000_s1168" type="#_x0000_t202" style="position:absolute;left:0;text-align:left;margin-left:184.7pt;margin-top:269.3pt;width:48.4pt;height:21pt;z-index:251797504;mso-height-percent:200;mso-height-percent:200;mso-width-relative:margin;mso-height-relative:margin" fillcolor="white [3212]" stroked="f">
            <v:textbox style="mso-next-textbox:#_x0000_s1168;mso-fit-shape-to-text:t">
              <w:txbxContent>
                <w:p w:rsidR="00AC7D7B" w:rsidRDefault="00AC7D7B" w:rsidP="007467DF">
                  <w:r>
                    <w:t>120</w:t>
                  </w:r>
                </w:p>
              </w:txbxContent>
            </v:textbox>
          </v:shape>
        </w:pict>
      </w:r>
      <w:r w:rsidR="00197AA0" w:rsidRPr="005F780E">
        <w:rPr>
          <w:rFonts w:ascii="Arial" w:hAnsi="Arial" w:cs="Arial"/>
          <w:sz w:val="22"/>
          <w:szCs w:val="22"/>
        </w:rPr>
        <w:t>Con referencia a todo lo anteriormente planteado sobre los efectos y daños biológicos que se producen ante un accidente de contaminación por hidrocarburo, se puede constatar cómo se deteriora el medio ambiente natural, que resulta gravemente afectado, como por ejemplo toda la flora  y la fauna marítima. Para el caso del Puerto de La Unión, la contaminación sobre las playas por petróleo que podría llegar a pasar causaría serios problemas económicos a los habitantes de las costas porque perderían ingresos por la actividad pesquera y turística, ya que las costas del Golfo de Fonseca, contaminadas por petróleo requerirían de al menos un año para su recuperación, cuando se tienen corrientes y olas fuertes, pero las que no tienen estas características tardan varios años en recuperarse, los estuarios y marismas sufren el mayor daño y no pueden limpiarse eficazmente.</w:t>
      </w: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Hechas las consideraciones anteriores, las riquezas biológicas del Golfo de Fonseca, resultarían gravemente perjudicadas ya que cuenta con farallones</w:t>
      </w:r>
      <w:r w:rsidRPr="005F780E">
        <w:rPr>
          <w:rStyle w:val="Refdenotaalpie"/>
          <w:rFonts w:ascii="Arial" w:hAnsi="Arial" w:cs="Arial"/>
          <w:sz w:val="22"/>
          <w:szCs w:val="22"/>
        </w:rPr>
        <w:footnoteReference w:customMarkFollows="1" w:id="182"/>
        <w:sym w:font="Symbol" w:char="F02A"/>
      </w:r>
      <w:r w:rsidRPr="005F780E">
        <w:rPr>
          <w:rFonts w:ascii="Arial" w:hAnsi="Arial" w:cs="Arial"/>
          <w:sz w:val="22"/>
          <w:szCs w:val="22"/>
        </w:rPr>
        <w:t>, islas rocosas, así como también los manglares y farallones que es el lugar donde anidan y se alimentan aves migratorias y residentes, como lo son grullas y garzas. El Golfo reúne una gran diversidad de hábitat marinos, costeros y terrestres, éstos hábitats brindan un importante aporte al mantenimiento de poblaciones de aves, especies de invertebrados y otras diversas especies de importancia no solo biológica sino socioeconómica como sustento de las poblaciones humanas locales.</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before="100" w:after="100" w:line="360" w:lineRule="auto"/>
        <w:ind w:right="44" w:firstLine="567"/>
        <w:jc w:val="both"/>
        <w:rPr>
          <w:rFonts w:ascii="Arial" w:hAnsi="Arial" w:cs="Arial"/>
          <w:sz w:val="22"/>
          <w:szCs w:val="22"/>
        </w:rPr>
      </w:pPr>
      <w:r w:rsidRPr="005F780E">
        <w:rPr>
          <w:rFonts w:ascii="Arial" w:hAnsi="Arial" w:cs="Arial"/>
          <w:sz w:val="22"/>
          <w:szCs w:val="22"/>
        </w:rPr>
        <w:t xml:space="preserve">En efecto, como ya se describieron las consecuencias y los daños que se ocasionan ante una contaminación marina por hidrocarburo, resulta oportuno abordar de manera clara y concisa, la responsabilidad que se deriva de los daños producidos al medio ambiente. En este mismo sentido para los casos de derrames de hidrocarburos, derivados o sustancias nocivas que puedan afectar cuerpos de agua, el responsable de la instalación, operación, dueño de la sustancia o actividad de donde se originó el derrame, </w:t>
      </w:r>
      <w:r w:rsidRPr="005F780E">
        <w:rPr>
          <w:rFonts w:ascii="Arial" w:hAnsi="Arial" w:cs="Arial"/>
          <w:sz w:val="22"/>
          <w:szCs w:val="22"/>
        </w:rPr>
        <w:lastRenderedPageBreak/>
        <w:t xml:space="preserve">será también responsable de la atención del derrame. En su defecto las entidades que conozcan de la ocurrencia del derrame y no sean responsables o las personas que tengan entrenamiento en la atención de este tipo de emergencias se harán cargo del manejo del evento y en ningún momento será responsable por los daños causados por el derrame. </w:t>
      </w:r>
    </w:p>
    <w:p w:rsidR="00197AA0" w:rsidRPr="005F780E" w:rsidRDefault="001D7573" w:rsidP="00232C32">
      <w:pPr>
        <w:spacing w:before="100" w:after="100" w:line="360" w:lineRule="auto"/>
        <w:ind w:right="44" w:firstLine="567"/>
        <w:jc w:val="both"/>
        <w:rPr>
          <w:rFonts w:ascii="Arial" w:hAnsi="Arial" w:cs="Arial"/>
          <w:sz w:val="22"/>
          <w:szCs w:val="22"/>
        </w:rPr>
      </w:pPr>
      <w:r>
        <w:rPr>
          <w:rFonts w:ascii="Arial" w:hAnsi="Arial" w:cs="Arial"/>
          <w:noProof/>
          <w:sz w:val="22"/>
          <w:szCs w:val="22"/>
        </w:rPr>
        <w:pict>
          <v:shape id="_x0000_s1167" type="#_x0000_t202" style="position:absolute;left:0;text-align:left;margin-left:201.75pt;margin-top:279.35pt;width:45pt;height:21pt;z-index:251796480;mso-height-percent:200;mso-height-percent:200;mso-width-relative:margin;mso-height-relative:margin" fillcolor="white [3212]" stroked="f">
            <v:textbox style="mso-next-textbox:#_x0000_s1167;mso-fit-shape-to-text:t">
              <w:txbxContent>
                <w:p w:rsidR="00AC7D7B" w:rsidRDefault="00AC7D7B" w:rsidP="007467DF">
                  <w:r>
                    <w:t>121</w:t>
                  </w:r>
                </w:p>
              </w:txbxContent>
            </v:textbox>
          </v:shape>
        </w:pict>
      </w:r>
      <w:r w:rsidR="00197AA0" w:rsidRPr="005F780E">
        <w:rPr>
          <w:rFonts w:ascii="Arial" w:hAnsi="Arial" w:cs="Arial"/>
          <w:sz w:val="22"/>
          <w:szCs w:val="22"/>
        </w:rPr>
        <w:t>La fijación de la responsabilidad por daños ambientales provocados por el derrame será definida por las autoridades ambientales competentes, de acuerdo a los procedimientos fijados por las normas vigentes y en el caso de que ocurra el derrame en las áreas de parques, estas serán las encargadas de llevar la veeduría</w:t>
      </w:r>
      <w:r w:rsidR="00197AA0" w:rsidRPr="005F780E">
        <w:rPr>
          <w:rStyle w:val="Refdenotaalpie"/>
          <w:rFonts w:ascii="Arial" w:hAnsi="Arial" w:cs="Arial"/>
          <w:sz w:val="22"/>
          <w:szCs w:val="22"/>
        </w:rPr>
        <w:footnoteReference w:customMarkFollows="1" w:id="183"/>
        <w:sym w:font="Symbol" w:char="F02A"/>
      </w:r>
      <w:r w:rsidR="00197AA0" w:rsidRPr="005F780E">
        <w:rPr>
          <w:rStyle w:val="Refdenotaalpie"/>
          <w:rFonts w:ascii="Arial" w:hAnsi="Arial" w:cs="Arial"/>
          <w:sz w:val="22"/>
          <w:szCs w:val="22"/>
        </w:rPr>
        <w:sym w:font="Symbol" w:char="F02A"/>
      </w:r>
      <w:r w:rsidR="00197AA0" w:rsidRPr="005F780E">
        <w:rPr>
          <w:rFonts w:ascii="Arial" w:hAnsi="Arial" w:cs="Arial"/>
          <w:sz w:val="22"/>
          <w:szCs w:val="22"/>
        </w:rPr>
        <w:t xml:space="preserve"> de la afectación ambiental y de articular las labores con la empresa encargada de la recolección del crudo y de la mitigación de los impactos ambientales a los ecosistemas afectados.</w:t>
      </w:r>
    </w:p>
    <w:p w:rsidR="00197AA0" w:rsidRDefault="00197AA0" w:rsidP="00232C32">
      <w:pPr>
        <w:spacing w:before="100" w:after="100" w:line="360" w:lineRule="auto"/>
        <w:ind w:right="44" w:firstLine="567"/>
        <w:jc w:val="both"/>
        <w:rPr>
          <w:rFonts w:ascii="Arial" w:hAnsi="Arial" w:cs="Arial"/>
          <w:sz w:val="22"/>
          <w:szCs w:val="22"/>
        </w:rPr>
      </w:pPr>
      <w:r w:rsidRPr="005F780E">
        <w:rPr>
          <w:rFonts w:ascii="Arial" w:hAnsi="Arial" w:cs="Arial"/>
          <w:sz w:val="22"/>
          <w:szCs w:val="22"/>
        </w:rPr>
        <w:t xml:space="preserve">Después de lo anterior expuesto es importante agregar que el tema de la responsabilidad internacional no es un tema nuevo, sino más bien es una institución que ha venido evolucionando a lo largo de la historia, teniendo como punto de relevancia la creación del Convenio sobre Responsabilidad Civil, y al mismo tiempo el Convenio Internacional sobre la Constitución de un Fondo de Indemnización de Daños Ocasionados por Hidrocarburos (FIDAC), de acuerdo a esto la responsabilidad civil va orientada a la restauración del ordenamiento internacional o de la mera normalidad de la vida internacional ante aquellas conductas lesivas para los diferentes miembros de la sociedad internacional atribuibles a determinados sujetos internacionales bien Estados u organizaciones internacionales que conllevan a la obligación de una reparación de los daños ocasionados, cuestión que ha venido aplicándose conforme a los accidentes por hidrocarburo que se han suscitado a lo largo del tiempo. </w:t>
      </w:r>
    </w:p>
    <w:p w:rsidR="00197AA0" w:rsidRPr="005F780E" w:rsidRDefault="00197AA0" w:rsidP="00232C32">
      <w:pPr>
        <w:spacing w:before="100" w:after="100" w:line="360" w:lineRule="auto"/>
        <w:ind w:right="44" w:firstLine="567"/>
        <w:jc w:val="both"/>
        <w:rPr>
          <w:rFonts w:ascii="Arial" w:hAnsi="Arial" w:cs="Arial"/>
          <w:sz w:val="22"/>
          <w:szCs w:val="22"/>
        </w:rPr>
      </w:pPr>
    </w:p>
    <w:p w:rsidR="00197AA0" w:rsidRDefault="00197AA0" w:rsidP="00232C32">
      <w:pPr>
        <w:spacing w:before="100" w:after="100" w:line="360" w:lineRule="auto"/>
        <w:ind w:right="44" w:firstLine="567"/>
        <w:jc w:val="both"/>
        <w:rPr>
          <w:rFonts w:ascii="Arial" w:hAnsi="Arial" w:cs="Arial"/>
          <w:color w:val="000000"/>
          <w:sz w:val="22"/>
          <w:szCs w:val="22"/>
        </w:rPr>
      </w:pPr>
      <w:r w:rsidRPr="005F780E">
        <w:rPr>
          <w:rFonts w:ascii="Arial" w:hAnsi="Arial" w:cs="Arial"/>
          <w:sz w:val="22"/>
          <w:szCs w:val="22"/>
        </w:rPr>
        <w:t xml:space="preserve">En este mismo orden, se puede constatar que la figura de la responsabilidad se ha venido fortaleciendo debido a que ha pasado de una responsabilidad subjetiva a una objetiva, es decir que se pasó de una teoría que </w:t>
      </w:r>
      <w:r w:rsidRPr="005F780E">
        <w:rPr>
          <w:rFonts w:ascii="Arial" w:hAnsi="Arial" w:cs="Arial"/>
          <w:color w:val="000000"/>
          <w:sz w:val="22"/>
          <w:szCs w:val="22"/>
        </w:rPr>
        <w:t xml:space="preserve">establecía que la culpa era el elemento indispensable para la asignación de responsabilidad, con lo cual, era necesario probar la intención del autor de causar el daño; a una teoría de responsabilidad objetiva en la cual </w:t>
      </w:r>
      <w:r w:rsidRPr="005F780E">
        <w:rPr>
          <w:rFonts w:ascii="Arial" w:hAnsi="Arial" w:cs="Arial"/>
          <w:color w:val="000000"/>
          <w:sz w:val="22"/>
          <w:szCs w:val="22"/>
        </w:rPr>
        <w:lastRenderedPageBreak/>
        <w:t xml:space="preserve">ya no resulta necesario comprobar la intención de daño premeditado, sino que basta con probar que existió una acción u omisión que trajo como consecuencia daños. </w:t>
      </w:r>
      <w:r w:rsidRPr="005F780E">
        <w:rPr>
          <w:rFonts w:ascii="Arial" w:hAnsi="Arial" w:cs="Arial"/>
          <w:color w:val="000000"/>
          <w:sz w:val="22"/>
          <w:szCs w:val="22"/>
        </w:rPr>
        <w:tab/>
      </w:r>
    </w:p>
    <w:p w:rsidR="00197AA0" w:rsidRPr="005F780E" w:rsidRDefault="00197AA0" w:rsidP="00232C32">
      <w:pPr>
        <w:spacing w:before="100" w:after="100" w:line="360" w:lineRule="auto"/>
        <w:ind w:right="44" w:firstLine="567"/>
        <w:jc w:val="both"/>
        <w:rPr>
          <w:rFonts w:ascii="Arial" w:hAnsi="Arial" w:cs="Arial"/>
          <w:color w:val="000000"/>
          <w:sz w:val="22"/>
          <w:szCs w:val="22"/>
        </w:rPr>
      </w:pPr>
    </w:p>
    <w:p w:rsidR="00197AA0" w:rsidRPr="005F780E" w:rsidRDefault="00197AA0" w:rsidP="00232C32">
      <w:pPr>
        <w:spacing w:before="100" w:after="100" w:line="360" w:lineRule="auto"/>
        <w:ind w:right="44" w:firstLine="567"/>
        <w:jc w:val="both"/>
        <w:rPr>
          <w:rFonts w:ascii="Arial" w:hAnsi="Arial" w:cs="Arial"/>
          <w:sz w:val="22"/>
          <w:szCs w:val="22"/>
        </w:rPr>
      </w:pPr>
      <w:r w:rsidRPr="005F780E">
        <w:rPr>
          <w:rFonts w:ascii="Arial" w:hAnsi="Arial" w:cs="Arial"/>
          <w:color w:val="000000"/>
          <w:sz w:val="22"/>
          <w:szCs w:val="22"/>
        </w:rPr>
        <w:t>Esta responsabilidad objetiva es la que se aplica en la mayoría de los casos de contaminación por hidrocarburos y es la que pudiese aplicarse en caso de que sucediera una contaminación marina en la zona del Golfo de Fonseca.</w:t>
      </w:r>
    </w:p>
    <w:p w:rsidR="00197AA0" w:rsidRPr="005F780E" w:rsidRDefault="00197AA0" w:rsidP="00232C32">
      <w:pPr>
        <w:spacing w:before="100" w:after="100" w:line="360" w:lineRule="auto"/>
        <w:ind w:right="44"/>
        <w:jc w:val="both"/>
        <w:rPr>
          <w:rFonts w:ascii="Arial" w:hAnsi="Arial" w:cs="Arial"/>
          <w:sz w:val="22"/>
          <w:szCs w:val="22"/>
        </w:rPr>
      </w:pPr>
    </w:p>
    <w:p w:rsidR="00197AA0" w:rsidRPr="005F780E" w:rsidRDefault="00197AA0" w:rsidP="00232C32">
      <w:pPr>
        <w:spacing w:line="360" w:lineRule="auto"/>
        <w:ind w:right="44"/>
        <w:jc w:val="both"/>
        <w:rPr>
          <w:rFonts w:ascii="Arial" w:hAnsi="Arial" w:cs="Arial"/>
          <w:b/>
          <w:sz w:val="22"/>
          <w:szCs w:val="22"/>
        </w:rPr>
      </w:pPr>
      <w:r w:rsidRPr="005F780E">
        <w:rPr>
          <w:rFonts w:ascii="Arial" w:hAnsi="Arial" w:cs="Arial"/>
          <w:b/>
          <w:sz w:val="22"/>
          <w:szCs w:val="22"/>
        </w:rPr>
        <w:t>3.3 Capacidad real de la terminal del Puerto de la Unión para prevenir y contrarrestar una posible contaminación marina por Hidrocarburos</w:t>
      </w:r>
    </w:p>
    <w:p w:rsidR="00197AA0" w:rsidRDefault="00197AA0" w:rsidP="00232C32">
      <w:pPr>
        <w:spacing w:line="360" w:lineRule="auto"/>
        <w:ind w:right="44" w:firstLine="567"/>
        <w:jc w:val="both"/>
        <w:rPr>
          <w:rFonts w:ascii="Arial" w:hAnsi="Arial" w:cs="Arial"/>
          <w:color w:val="000000"/>
          <w:sz w:val="22"/>
          <w:szCs w:val="22"/>
        </w:rPr>
      </w:pPr>
    </w:p>
    <w:p w:rsidR="00197AA0" w:rsidRDefault="001D7573" w:rsidP="00232C32">
      <w:pPr>
        <w:spacing w:line="360" w:lineRule="auto"/>
        <w:ind w:right="44" w:firstLine="567"/>
        <w:jc w:val="both"/>
        <w:rPr>
          <w:rFonts w:ascii="Arial" w:hAnsi="Arial" w:cs="Arial"/>
          <w:color w:val="000000"/>
          <w:sz w:val="22"/>
          <w:szCs w:val="22"/>
        </w:rPr>
      </w:pPr>
      <w:r>
        <w:rPr>
          <w:rFonts w:ascii="Arial" w:hAnsi="Arial" w:cs="Arial"/>
          <w:noProof/>
          <w:color w:val="000000"/>
          <w:sz w:val="22"/>
          <w:szCs w:val="22"/>
        </w:rPr>
        <w:pict>
          <v:shape id="_x0000_s1170" type="#_x0000_t202" style="position:absolute;left:0;text-align:left;margin-left:174.65pt;margin-top:106.5pt;width:48.4pt;height:21pt;z-index:251799552;mso-height-percent:200;mso-height-percent:200;mso-width-relative:margin;mso-height-relative:margin" fillcolor="white [3212]" stroked="f">
            <v:textbox style="mso-next-textbox:#_x0000_s1170;mso-fit-shape-to-text:t">
              <w:txbxContent>
                <w:p w:rsidR="00AC7D7B" w:rsidRDefault="00AC7D7B" w:rsidP="007467DF">
                  <w:r>
                    <w:t>122</w:t>
                  </w:r>
                </w:p>
              </w:txbxContent>
            </v:textbox>
          </v:shape>
        </w:pict>
      </w:r>
      <w:r w:rsidR="00197AA0" w:rsidRPr="005F780E">
        <w:rPr>
          <w:rFonts w:ascii="Arial" w:hAnsi="Arial" w:cs="Arial"/>
          <w:color w:val="000000"/>
          <w:sz w:val="22"/>
          <w:szCs w:val="22"/>
        </w:rPr>
        <w:t xml:space="preserve">Una vez se han planteado las consecuencias y efectos de una posible contaminación por hidrocarburo en la zona del Golfo de Fonseca y conocer los daños que esto causaría al medio ambiente y al mismo hábitat natural de la zona, resulta importante también conocer a profundidad la capacidad real de la terminal del Puerto de la Unión para prevenir una posible contaminación por hidrocarburo y hacer frente a este tipo de accidentes. </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Es de acuerdo a esto que se presentó la oportunidad de poder conocer las instalaciones con las que cuenta el Puerto de La Unión y realizar una serie de entrevistas tanto al Ing. Abelino Cruz quien es el encargado en cuestiones relacionadas directamente con la infraestructura de la terminal marítima, así como también al Gerente del Puerto, Ing. Milton Lacayo, encargado de todo el funcionamiento del mismo. De esta manera se logró profundizar y constatar de manera empírica si el Puerto de La Unión está realmente capacitado para hacer frente a un posible accidente de contaminación marina por hidrocarburos.</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Ante esto cabe destacar que la terminal marítima ha sido diseñada bajo tres fases, la primera de ellas, contemplaba la construcción de un muelle donde atracarán los contenedores, que consta de una área de 26.6 manzanas, con una profundidad de -15 metros en la marea más baja, lo cual representa una gran ventaja competitiva con respecto al resto de países de Centroamérica, ésto se debe a que las otras terminales portuarias de la región centroamericana no cuentan con esta característica y es por lo tanto una ventaja para el Puerto de La Unión, porque le permitiría recibir buques de </w:t>
      </w:r>
      <w:r w:rsidRPr="005F780E">
        <w:rPr>
          <w:rFonts w:ascii="Arial" w:hAnsi="Arial" w:cs="Arial"/>
          <w:color w:val="000000"/>
          <w:sz w:val="22"/>
          <w:szCs w:val="22"/>
        </w:rPr>
        <w:lastRenderedPageBreak/>
        <w:t>grandes dimensiones como un buque Post Pánamax, cuestión que convierte a El Salvador más atractivo para promover la inversión extranjera internacional; sin embargo estas ventajas económicas no se verían reflejadas a nivel medio ambiental ya que el flujo de buques de gran calado que recibiría el Puerto de La Unión, traería mayor probabilidad de contaminación marina en la zona; la segunda fase estipula la futura creación de una terminal de fuente eléctrica para lograr un abastecimiento propio de energía y la tercera fase comprenderá la creación de una terminal de hidrocarburos, que tendrá como objetivo traspasar este producto a la terminal marítima de La Unión.</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D7573" w:rsidP="00232C32">
      <w:pPr>
        <w:spacing w:line="360" w:lineRule="auto"/>
        <w:ind w:right="44" w:firstLine="567"/>
        <w:jc w:val="both"/>
        <w:rPr>
          <w:rFonts w:ascii="Arial" w:hAnsi="Arial" w:cs="Arial"/>
          <w:color w:val="000000"/>
          <w:sz w:val="22"/>
          <w:szCs w:val="22"/>
        </w:rPr>
      </w:pPr>
      <w:r>
        <w:rPr>
          <w:rFonts w:ascii="Arial" w:hAnsi="Arial" w:cs="Arial"/>
          <w:noProof/>
          <w:color w:val="000000"/>
          <w:sz w:val="22"/>
          <w:szCs w:val="22"/>
        </w:rPr>
        <w:pict>
          <v:shape id="_x0000_s1169" type="#_x0000_t202" style="position:absolute;left:0;text-align:left;margin-left:207.7pt;margin-top:137.55pt;width:45pt;height:21pt;z-index:251798528;mso-height-percent:200;mso-height-percent:200;mso-width-relative:margin;mso-height-relative:margin" fillcolor="white [3212]" stroked="f">
            <v:textbox style="mso-next-textbox:#_x0000_s1169;mso-fit-shape-to-text:t">
              <w:txbxContent>
                <w:p w:rsidR="00AC7D7B" w:rsidRDefault="00AC7D7B" w:rsidP="007467DF">
                  <w:r>
                    <w:t>123</w:t>
                  </w:r>
                </w:p>
              </w:txbxContent>
            </v:textbox>
          </v:shape>
        </w:pict>
      </w:r>
      <w:r w:rsidR="00197AA0" w:rsidRPr="005F780E">
        <w:rPr>
          <w:rFonts w:ascii="Arial" w:hAnsi="Arial" w:cs="Arial"/>
          <w:color w:val="000000"/>
          <w:sz w:val="22"/>
          <w:szCs w:val="22"/>
        </w:rPr>
        <w:t>Según lo que manifestaron los altos ejecutivos anteriormente mencionados, el puerto sí cuenta con la tecnología para hacer frente a un derrame por hidrocarburos, debido a que según el Gerente del puerto, el Ing. Milton Lacayo, se poseen mecanismos de contención, como lo son los tubos de plástico que están diseñados para absorber el petróleo derramado en caso de un accidente de esta naturaleza. Ante esto resulta interesante resaltar que este mecanismo es bastante importante, pero a la vez no es suficiente ni el único para prevenir y responder ante cualquier accidente por hidrocarburo que pudiera llegar a suceder en la zona del Golfo de Fonseca. En relación a lo anteriormente citado, resulta oportuno describir y explicar a continuación, qué otros mecanismos se deberían adoptar para prevenir un posible accidente de contaminación por hidrocarburo.</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Consecuentemente se deberían aplicar mejores planes de contingencia y mecanismos para contrarrestar una posible contaminación por hidrocarburos, y conocer con profundidad que la construcción de una terminal de hidrocarburos en el Puerto de La Unión, implica no sólo tener planes preventivos como el de contención mencionado anteriormente, si no que es necesario que los encargados de manejar el puerto tengan a disposición una amplia gama de instrumentos que faciliten y respondan ante cualquier accidente de hidrocarburos que suceda en las costas del Golfo de Fonseca , ya que es casi imposible evitar este tipo de accidentes, aunque si se pueden tomar las medidas preventivas y necesarias para reducir en gran manera las probabilidades de que un suceso de esta naturaleza se dé, tomando en cuenta algunas de las medidas más aplicadas por los Estados en casos de derrames o vertidos de  hidrocarburos, como por ejemplo, maquinaria especializada en la materia conocidas también como espumaderas, que son maquinas especiales para separar el petróleo del agua, y que bombean el </w:t>
      </w:r>
      <w:r w:rsidRPr="005F780E">
        <w:rPr>
          <w:rFonts w:ascii="Arial" w:hAnsi="Arial" w:cs="Arial"/>
          <w:color w:val="000000"/>
          <w:sz w:val="22"/>
          <w:szCs w:val="22"/>
        </w:rPr>
        <w:lastRenderedPageBreak/>
        <w:t xml:space="preserve">petróleo a los tanques de almacenamiento; además contar con trajes que se encuentren equipados con guantes, botas y mascaras especiales como los que se utilizaron en el caso Prestige, por parte de un equipo especializado en la materia para poder limpiar todo el espacio marítimo contaminado, y de esta manera evitar el contacto físico de la persona con el petróleo, que resulta altamente tóxico y dañino para la salud humana. </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Pr="005F780E" w:rsidRDefault="001D7573" w:rsidP="00232C32">
      <w:pPr>
        <w:spacing w:line="360" w:lineRule="auto"/>
        <w:ind w:right="44" w:firstLine="567"/>
        <w:jc w:val="both"/>
        <w:rPr>
          <w:rFonts w:ascii="Arial" w:hAnsi="Arial" w:cs="Arial"/>
          <w:color w:val="000000"/>
          <w:sz w:val="22"/>
          <w:szCs w:val="22"/>
        </w:rPr>
      </w:pPr>
      <w:r>
        <w:rPr>
          <w:rFonts w:ascii="Arial" w:hAnsi="Arial" w:cs="Arial"/>
          <w:noProof/>
          <w:color w:val="000000"/>
          <w:sz w:val="22"/>
          <w:szCs w:val="22"/>
        </w:rPr>
        <w:pict>
          <v:shape id="_x0000_s1171" type="#_x0000_t202" style="position:absolute;left:0;text-align:left;margin-left:175pt;margin-top:195.75pt;width:45pt;height:21pt;z-index:251800576;mso-height-percent:200;mso-height-percent:200;mso-width-relative:margin;mso-height-relative:margin" fillcolor="white [3212]" stroked="f">
            <v:textbox style="mso-next-textbox:#_x0000_s1171;mso-fit-shape-to-text:t">
              <w:txbxContent>
                <w:p w:rsidR="00AC7D7B" w:rsidRDefault="00AC7D7B" w:rsidP="007467DF">
                  <w:r>
                    <w:t>124</w:t>
                  </w:r>
                </w:p>
              </w:txbxContent>
            </v:textbox>
          </v:shape>
        </w:pict>
      </w:r>
      <w:r w:rsidR="00197AA0" w:rsidRPr="005F780E">
        <w:rPr>
          <w:rFonts w:ascii="Arial" w:hAnsi="Arial" w:cs="Arial"/>
          <w:color w:val="000000"/>
          <w:sz w:val="22"/>
          <w:szCs w:val="22"/>
        </w:rPr>
        <w:t>Así mismo el Puerto de La Unión, necesita contar con otro tipo de técnicas para proteger y limpiar las costas del Golfo de Fonseca, en un caso de contaminación por petróleo, como es el uso de papel absorbente, que es una de las técnicas que se ha utilizado en el reciente caso del derrame de petróleo en el Golfo de México por la British Petroleum. Otras de las técnicas que también debe de tomarse en cuenta, es el uso de dispersantes, que son sustancias químicas similares a los detergentes, que rompen el petróleo en pequeñas gotas, con lo que se diluyen los efectos dañinos del vertido y se facilita la actuación de las bacterias que digieren los hidrocarburos.</w:t>
      </w: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 También existe otra medida que podría ser tomada a consideración, como lo es la incineración, que consiste en quemar el petróleo derramado, el cual suele ser una forma eficaz de hacerlo desaparecer. En circunstancias óptimas se puede eliminar el 95% del vertido, aunque el principal problema de este método es que produce grandes cantidades de humo negro y gases de efecto invernadero, y por este motivo al final no se suele recurrir mucho a esta técnica. La biodegradación, también puede ser útil ya que en la naturaleza existen microorganismos (bacterias y hongos, principalmente), que se alimentan de los hidrocarburos y los transforman en otras sustancias químicas no contaminantes. Este proceso natural se puede acelerar aportando nutrientes y oxígeno que facilitan la multiplicación de las bacterias.  </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Así mismo el Puerto actualmente cuenta con una serie de tuberías y canales de desagüe que han sido instaladas en tierra, específicamente para aguas lluvias, y para el sistema interno del puerto, pero no se han instalado aún tuberías especiales para desagües de otro tipo de aguas contaminantes, provenientes de los buques o para poder pasar hidrocarburo de un buque a otro. Tampoco el puerto cuenta con sistemas para responder a algún derrame que suceda en tierra, como trampas y otro tipo de equipos para contrarrestar estos posibles sucesos de contaminación. Esto refleja que la primera fase del puerto no contempla los mecanismos suficientes para responder a un buen manejo de residuos contaminantes, ya que en esta misma fase se contempla casi de </w:t>
      </w:r>
      <w:r w:rsidRPr="005F780E">
        <w:rPr>
          <w:rFonts w:ascii="Arial" w:hAnsi="Arial" w:cs="Arial"/>
          <w:color w:val="000000"/>
          <w:sz w:val="22"/>
          <w:szCs w:val="22"/>
        </w:rPr>
        <w:lastRenderedPageBreak/>
        <w:t xml:space="preserve">manera exclusiva el manejo de contenedores, es por esta razón que no se le ha dado una mayor importancia a la construcción de tuberías especializadas en el manejo de hidrocarburos ni de desechos contaminantes.  </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D7573" w:rsidP="00232C32">
      <w:pPr>
        <w:spacing w:line="360" w:lineRule="auto"/>
        <w:ind w:right="44" w:firstLine="567"/>
        <w:jc w:val="both"/>
        <w:rPr>
          <w:rFonts w:ascii="Arial" w:hAnsi="Arial" w:cs="Arial"/>
          <w:color w:val="000000"/>
          <w:sz w:val="22"/>
          <w:szCs w:val="22"/>
        </w:rPr>
      </w:pPr>
      <w:r>
        <w:rPr>
          <w:rFonts w:ascii="Arial" w:hAnsi="Arial" w:cs="Arial"/>
          <w:noProof/>
          <w:color w:val="000000"/>
          <w:sz w:val="22"/>
          <w:szCs w:val="22"/>
        </w:rPr>
        <w:pict>
          <v:shape id="_x0000_s1172" type="#_x0000_t202" style="position:absolute;left:0;text-align:left;margin-left:194.25pt;margin-top:213.45pt;width:48.4pt;height:21pt;z-index:251801600;mso-height-percent:200;mso-height-percent:200;mso-width-relative:margin;mso-height-relative:margin" fillcolor="white [3212]" stroked="f">
            <v:textbox style="mso-next-textbox:#_x0000_s1172;mso-fit-shape-to-text:t">
              <w:txbxContent>
                <w:p w:rsidR="00AC7D7B" w:rsidRDefault="00AC7D7B" w:rsidP="007467DF">
                  <w:r>
                    <w:t>125</w:t>
                  </w:r>
                </w:p>
              </w:txbxContent>
            </v:textbox>
          </v:shape>
        </w:pict>
      </w:r>
      <w:r w:rsidR="00197AA0" w:rsidRPr="005F780E">
        <w:rPr>
          <w:rFonts w:ascii="Arial" w:hAnsi="Arial" w:cs="Arial"/>
          <w:color w:val="000000"/>
          <w:sz w:val="22"/>
          <w:szCs w:val="22"/>
        </w:rPr>
        <w:t xml:space="preserve">Resulta interesante y contrastante resaltar que autoridades del Puerto de La Unión, sostienen que se cuenta con un personal especializado en materia de contaminación marina para hacer frente a un desastre de petróleo, cuando en la práctica se pudo constatar que dentro de las instalaciones del puerto sólo se cuenta con una persona encargada de la protección al medio ambiente pero en materia general, y no con un equipo especializado exclusivamente en materia de contaminación marina que tenga los suficientes conocimientos y experiencia para sobrellevar y contrarrestar un desastre de hidrocarburos. Esto es importante destacarlo, ya que si se tiene el plan de construir una terminal de hidrocarburos, resulta bastante necesario y vital contar con un equipo altamente capacitado en esta materia en específico y además tomar en cuenta que si se carece de un equipo especializado, el Estado tendría que acarrear con los gastos para contratar personal extranjero tecnificados en la materia. </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Es de acuerdo a esto que es necesario, aclarar que hoy en día ante un mundo tan globalizado y con un flujo marítimo internacional en aumento, teniendo el hidrocarburo como uno de los principales productos a transportar; es transcendental tomar todas las medidas necesarias para prevenir situaciones de derrame y su combate, sin embargo, para poder realizar esta actividad, es muy necesario tener también la gente capacitada y especializada en el área para poder hacerle frente al problema aún con mayor efectividad. </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Sobre la base de las consideraciones anteriores, otro mecanismo que resultaría fundamental para respaldar las técnicas anteriormente descritas y explicadas, es necesario y recomendable adherirse al Convenio STCW 78, que vendría a ser un respaldo jurídico, para que estas técnicas se apliquen de manera más efectiva, y al mismo tiempo vendría a  velar por las normas de formación, titulación y guardia para la gente del mar, ya que con la ratificación de este convenio se adquirirían los conocimientos para poder enfrentar y contrarrestar de la mejor manera un posible accidente de derrame o vertido de hidrocarburos. Actualmente la OMI tiene un programa de asistencia técnica que se especializa en la formación de personal, ya que muchas de </w:t>
      </w:r>
      <w:r w:rsidRPr="005F780E">
        <w:rPr>
          <w:rFonts w:ascii="Arial" w:hAnsi="Arial" w:cs="Arial"/>
          <w:color w:val="000000"/>
          <w:sz w:val="22"/>
          <w:szCs w:val="22"/>
        </w:rPr>
        <w:lastRenderedPageBreak/>
        <w:t>las medidas de la OMI sólo pueden llevarse a la práctica eficazmente si las personas responsables han recibido la debida instrucción, razón por la cual la OMI ha contribuido a crear o mejorar las academias de formación naval en muchos países de todo el mundo. Algunas de éstas, atienden exclusivamente las necesidades nacionales, en tanto que otras se han creado para ocuparse de las necesidades de una región, criterio muy útil cuando la demanda de personal adiestrado en los países no es suficiente para justificar las considerables inversiones económicas que se requieren a fin de establecer instituciones de esa naturaleza</w:t>
      </w:r>
      <w:r w:rsidRPr="005F780E">
        <w:rPr>
          <w:rStyle w:val="Refdenotaalpie"/>
          <w:rFonts w:ascii="Arial" w:hAnsi="Arial" w:cs="Arial"/>
          <w:color w:val="000000"/>
          <w:sz w:val="22"/>
          <w:szCs w:val="22"/>
        </w:rPr>
        <w:footnoteReference w:id="184"/>
      </w:r>
      <w:r w:rsidRPr="005F780E">
        <w:rPr>
          <w:rFonts w:ascii="Arial" w:hAnsi="Arial" w:cs="Arial"/>
          <w:color w:val="000000"/>
          <w:sz w:val="22"/>
          <w:szCs w:val="22"/>
        </w:rPr>
        <w:t>.</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Pr="005F780E" w:rsidRDefault="001D7573" w:rsidP="00232C32">
      <w:pPr>
        <w:spacing w:line="360" w:lineRule="auto"/>
        <w:ind w:right="44" w:firstLine="567"/>
        <w:jc w:val="both"/>
        <w:rPr>
          <w:rFonts w:ascii="Arial" w:hAnsi="Arial" w:cs="Arial"/>
          <w:color w:val="000000"/>
          <w:sz w:val="22"/>
          <w:szCs w:val="22"/>
        </w:rPr>
      </w:pPr>
      <w:r>
        <w:rPr>
          <w:rFonts w:ascii="Arial" w:hAnsi="Arial" w:cs="Arial"/>
          <w:noProof/>
          <w:color w:val="000000"/>
          <w:sz w:val="22"/>
          <w:szCs w:val="22"/>
        </w:rPr>
        <w:pict>
          <v:shape id="_x0000_s1174" type="#_x0000_t202" style="position:absolute;left:0;text-align:left;margin-left:174.65pt;margin-top:130.3pt;width:48.4pt;height:21pt;z-index:251803648;mso-height-percent:200;mso-height-percent:200;mso-width-relative:margin;mso-height-relative:margin" fillcolor="white [3212]" stroked="f">
            <v:textbox style="mso-next-textbox:#_x0000_s1174;mso-fit-shape-to-text:t">
              <w:txbxContent>
                <w:p w:rsidR="00AC7D7B" w:rsidRDefault="00AC7D7B" w:rsidP="007467DF">
                  <w:r>
                    <w:t>126</w:t>
                  </w:r>
                </w:p>
              </w:txbxContent>
            </v:textbox>
          </v:shape>
        </w:pict>
      </w:r>
      <w:r w:rsidR="00197AA0" w:rsidRPr="005F780E">
        <w:rPr>
          <w:rFonts w:ascii="Arial" w:hAnsi="Arial" w:cs="Arial"/>
          <w:color w:val="000000"/>
          <w:sz w:val="22"/>
          <w:szCs w:val="22"/>
        </w:rPr>
        <w:t>De todos los proyectos de asistencia técnica de la OMI el más ambicioso es el de la Universidad Marítima Mundial de Malmö (Suecia), que se inauguró en 1983. Su objetivo es proporcionar medios de formación de alto nivel para el personal de países en desarrollo que ya han alcanzado un nivel relativamente alto en sus propios países pero que se beneficiaría de una formación superior intensiva. La Universidad puede impartir formación a unas 200 personas al mismo tiempo, en cursos de uno o dos años de duración. Son por estas razones que el elemento humano debe ser visto como un problema multidimensional complejo que afecta a la seguridad marítima, la seguridad y protección del medio ambiente marino, participación de todo el espectro de actividades humanas llevadas a cabo por las tripulaciones de los buques, la gestión en tierra, los organismos reguladores y otros.</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Pr="005F780E" w:rsidRDefault="00197AA0" w:rsidP="00232C32">
      <w:pPr>
        <w:spacing w:line="360" w:lineRule="auto"/>
        <w:ind w:right="44"/>
        <w:jc w:val="both"/>
        <w:rPr>
          <w:rFonts w:ascii="Arial" w:hAnsi="Arial" w:cs="Arial"/>
          <w:b/>
          <w:color w:val="000000"/>
          <w:sz w:val="22"/>
          <w:szCs w:val="22"/>
        </w:rPr>
      </w:pPr>
      <w:r w:rsidRPr="005F780E">
        <w:rPr>
          <w:rFonts w:ascii="Arial" w:hAnsi="Arial" w:cs="Arial"/>
          <w:b/>
          <w:color w:val="000000"/>
          <w:sz w:val="22"/>
          <w:szCs w:val="22"/>
        </w:rPr>
        <w:t xml:space="preserve">3.3.1 El Puerto de La Unión y el Puerto de Acajutla en materia de seguridad y protección de derrames </w:t>
      </w:r>
    </w:p>
    <w:p w:rsidR="00197AA0" w:rsidRDefault="00197AA0" w:rsidP="00232C32">
      <w:pPr>
        <w:spacing w:line="360" w:lineRule="auto"/>
        <w:ind w:right="44" w:firstLine="567"/>
        <w:jc w:val="both"/>
        <w:rPr>
          <w:rFonts w:ascii="Arial" w:hAnsi="Arial" w:cs="Arial"/>
          <w:color w:val="000000"/>
          <w:sz w:val="22"/>
          <w:szCs w:val="22"/>
        </w:rPr>
      </w:pPr>
    </w:p>
    <w:p w:rsidR="00197AA0"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Resulta importante conocer el Puerto de La Unión y el Puerto de Acajutla en materia de seguridad y protección de derrames, ya que a través de las entrevistas realizadas a los ejecutivos de las instituciones competentes en la materia, se pudo conocer con mucha más profundidad, si dichos puertos están preparados para poder contrarrestar una situación de contaminación por hidrocarburo. Ante esto cabe aclarar que aunque el Puerto de Acajutla tenga mucho más tiempo de haberse construido, se encuentra bastante frágil en materia de protección de derrames, al igual que el Puerto de La Unión y esto resulta interesante porqué hasta fechas actuales aún no se ha tomado el </w:t>
      </w:r>
      <w:r w:rsidRPr="005F780E">
        <w:rPr>
          <w:rFonts w:ascii="Arial" w:hAnsi="Arial" w:cs="Arial"/>
          <w:color w:val="000000"/>
          <w:sz w:val="22"/>
          <w:szCs w:val="22"/>
        </w:rPr>
        <w:lastRenderedPageBreak/>
        <w:t xml:space="preserve">tema de los derrames por hidrocarburo con la seriedad que se merece, esto a pesar del desarrollo portuario que se busca promover y crear en El Salvador. </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Default="001D7573" w:rsidP="00232C32">
      <w:pPr>
        <w:spacing w:line="360" w:lineRule="auto"/>
        <w:ind w:right="44" w:firstLine="567"/>
        <w:jc w:val="both"/>
        <w:rPr>
          <w:rFonts w:ascii="Arial" w:hAnsi="Arial" w:cs="Arial"/>
          <w:sz w:val="22"/>
          <w:szCs w:val="22"/>
        </w:rPr>
      </w:pPr>
      <w:r w:rsidRPr="001D7573">
        <w:rPr>
          <w:rFonts w:ascii="Arial" w:hAnsi="Arial" w:cs="Arial"/>
          <w:noProof/>
          <w:color w:val="000000"/>
          <w:sz w:val="22"/>
          <w:szCs w:val="22"/>
        </w:rPr>
        <w:pict>
          <v:shape id="_x0000_s1173" type="#_x0000_t202" style="position:absolute;left:0;text-align:left;margin-left:199.95pt;margin-top:233.7pt;width:45pt;height:21pt;z-index:251802624;mso-height-percent:200;mso-height-percent:200;mso-width-relative:margin;mso-height-relative:margin" fillcolor="white [3212]" stroked="f">
            <v:textbox style="mso-next-textbox:#_x0000_s1173;mso-fit-shape-to-text:t">
              <w:txbxContent>
                <w:p w:rsidR="00AC7D7B" w:rsidRDefault="00AC7D7B" w:rsidP="007467DF">
                  <w:r>
                    <w:t>127</w:t>
                  </w:r>
                </w:p>
              </w:txbxContent>
            </v:textbox>
          </v:shape>
        </w:pict>
      </w:r>
      <w:r w:rsidR="00197AA0" w:rsidRPr="005F780E">
        <w:rPr>
          <w:rFonts w:ascii="Arial" w:hAnsi="Arial" w:cs="Arial"/>
          <w:color w:val="000000"/>
          <w:sz w:val="22"/>
          <w:szCs w:val="22"/>
        </w:rPr>
        <w:t>Aunado a esto no hay que dejar de lado que el tema de la contaminación por hidrocarburo necesita de un presupuesto que se adecúe a la dinámica de cada uno de los puertos nacionales y de esta manera se pueda estar preparado en materia de seguridad y protección de derrames; es de acuerdo a esto que, específicamente en el tema del Puerto de La Unión que es el tema que compete, es que se pudo constatar, según lo manifestado durante la entrevista realizada a los ejecutivos del Puerto de La Unión, que este no se divide por áreas como medioambiente ó seguridad industrial, sino que se da por departamentos, es decir que</w:t>
      </w:r>
      <w:r w:rsidR="00197AA0" w:rsidRPr="005F780E">
        <w:rPr>
          <w:rFonts w:ascii="Arial" w:hAnsi="Arial" w:cs="Arial"/>
          <w:sz w:val="22"/>
          <w:szCs w:val="22"/>
        </w:rPr>
        <w:t xml:space="preserve"> se tiene por cada uno de estos, una asignación presupuestaria y dentro de esta, por ejemplo en el área de contratación de personal se tiene el área de mantenimiento, donde se contempla el uso de casco, el uso de lentes, el uso de zapatos de seguridad, etc. Ese componente de seguridad industrial está ligado a cada área y a cada departamento, es decir que no hay un porcentaje específico establecido. </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Esto viene a revelar una vez más, que este factor tan fundamental como lo es el presupuesto específico para la prevención y lucha contra la contaminación marina, no se le ha brindado la importancia que el mismo merece, a pesar que se tiene dentro de los planes de construcción del puerto, la creación de la tercera fase que será la terminal de hidrocarburos, que abre las puertas para que verdaderamente se tome en cuenta este factor tan importante y vital, que controle en un futuro un accidente por hidrocarburos.</w:t>
      </w:r>
    </w:p>
    <w:p w:rsidR="00197AA0" w:rsidRPr="005F780E" w:rsidRDefault="00197AA0" w:rsidP="00232C32">
      <w:pPr>
        <w:spacing w:line="360" w:lineRule="auto"/>
        <w:ind w:right="44" w:firstLine="567"/>
        <w:jc w:val="both"/>
        <w:rPr>
          <w:rFonts w:ascii="Arial" w:hAnsi="Arial" w:cs="Arial"/>
          <w:color w:val="000000"/>
          <w:sz w:val="22"/>
          <w:szCs w:val="22"/>
        </w:rPr>
      </w:pPr>
    </w:p>
    <w:p w:rsidR="00197AA0" w:rsidRPr="005F780E"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Ahora bien, conociendo de manera breve y concisa el tema del presupuesto destinado a la prevención de la contaminación marina por hidrocarburo, se responde un poco el porqué de la fragilidad de los puertos en el tema de la seguridad y protección de derrames. En comparación con el Puerto de la Unión, el Puerto de Acajutla cuenta con una diversidad de equipos para su desarrollo, ya que históricamente ha sido un puerto para recibir una amplia gama de mercancías, que ha permitido hasta el día de hoy un gran flujo marítimo en la zona. Algunos de los equipos con los que cuenta actualmente son</w:t>
      </w:r>
      <w:r w:rsidRPr="005F780E">
        <w:rPr>
          <w:rStyle w:val="Refdenotaalpie"/>
          <w:rFonts w:ascii="Arial" w:hAnsi="Arial" w:cs="Arial"/>
          <w:sz w:val="22"/>
          <w:szCs w:val="22"/>
        </w:rPr>
        <w:footnoteReference w:id="185"/>
      </w:r>
      <w:r w:rsidRPr="005F780E">
        <w:rPr>
          <w:rFonts w:ascii="Arial" w:hAnsi="Arial" w:cs="Arial"/>
          <w:sz w:val="22"/>
          <w:szCs w:val="22"/>
        </w:rPr>
        <w:t>:</w:t>
      </w:r>
    </w:p>
    <w:p w:rsidR="00197AA0" w:rsidRPr="005F780E" w:rsidRDefault="00197AA0" w:rsidP="00232C32">
      <w:pPr>
        <w:spacing w:line="360" w:lineRule="auto"/>
        <w:ind w:right="44" w:firstLine="567"/>
        <w:jc w:val="both"/>
        <w:rPr>
          <w:rFonts w:ascii="Arial" w:hAnsi="Arial" w:cs="Arial"/>
          <w:sz w:val="22"/>
          <w:szCs w:val="22"/>
        </w:rPr>
      </w:pPr>
    </w:p>
    <w:p w:rsidR="00197AA0" w:rsidRPr="005F780E" w:rsidRDefault="00197AA0" w:rsidP="00232C32">
      <w:pPr>
        <w:pStyle w:val="Default"/>
        <w:numPr>
          <w:ilvl w:val="0"/>
          <w:numId w:val="24"/>
        </w:numPr>
        <w:spacing w:after="157" w:line="360" w:lineRule="auto"/>
        <w:ind w:left="1287" w:right="44"/>
        <w:jc w:val="both"/>
        <w:rPr>
          <w:color w:val="auto"/>
          <w:sz w:val="22"/>
          <w:szCs w:val="22"/>
        </w:rPr>
      </w:pPr>
      <w:r w:rsidRPr="005F780E">
        <w:rPr>
          <w:color w:val="auto"/>
          <w:sz w:val="22"/>
          <w:szCs w:val="22"/>
        </w:rPr>
        <w:t>44 montacargas de 6,000 libras de capacidad.</w:t>
      </w:r>
    </w:p>
    <w:p w:rsidR="00197AA0" w:rsidRPr="005F780E" w:rsidRDefault="00197AA0" w:rsidP="00232C32">
      <w:pPr>
        <w:pStyle w:val="Default"/>
        <w:numPr>
          <w:ilvl w:val="0"/>
          <w:numId w:val="24"/>
        </w:numPr>
        <w:spacing w:after="157" w:line="360" w:lineRule="auto"/>
        <w:ind w:left="1287" w:right="44"/>
        <w:jc w:val="both"/>
        <w:rPr>
          <w:color w:val="auto"/>
          <w:sz w:val="22"/>
          <w:szCs w:val="22"/>
        </w:rPr>
      </w:pPr>
      <w:r w:rsidRPr="005F780E">
        <w:rPr>
          <w:color w:val="auto"/>
          <w:sz w:val="22"/>
          <w:szCs w:val="22"/>
        </w:rPr>
        <w:t xml:space="preserve">3 montacargas Clamp de 6,000 libras de capacidad. </w:t>
      </w:r>
    </w:p>
    <w:p w:rsidR="00197AA0" w:rsidRPr="005F780E" w:rsidRDefault="00197AA0" w:rsidP="00232C32">
      <w:pPr>
        <w:pStyle w:val="Default"/>
        <w:numPr>
          <w:ilvl w:val="0"/>
          <w:numId w:val="24"/>
        </w:numPr>
        <w:spacing w:after="157" w:line="360" w:lineRule="auto"/>
        <w:ind w:left="1287" w:right="44"/>
        <w:jc w:val="both"/>
        <w:rPr>
          <w:color w:val="auto"/>
          <w:sz w:val="22"/>
          <w:szCs w:val="22"/>
        </w:rPr>
      </w:pPr>
      <w:r w:rsidRPr="005F780E">
        <w:rPr>
          <w:color w:val="auto"/>
          <w:sz w:val="22"/>
          <w:szCs w:val="22"/>
        </w:rPr>
        <w:t xml:space="preserve">5 montacargas de 8,000 libras de capacidad. </w:t>
      </w:r>
    </w:p>
    <w:p w:rsidR="00197AA0" w:rsidRPr="005F780E" w:rsidRDefault="00197AA0" w:rsidP="00232C32">
      <w:pPr>
        <w:pStyle w:val="Default"/>
        <w:numPr>
          <w:ilvl w:val="0"/>
          <w:numId w:val="24"/>
        </w:numPr>
        <w:spacing w:after="157" w:line="360" w:lineRule="auto"/>
        <w:ind w:left="1287" w:right="44"/>
        <w:jc w:val="both"/>
        <w:rPr>
          <w:color w:val="auto"/>
          <w:sz w:val="22"/>
          <w:szCs w:val="22"/>
        </w:rPr>
      </w:pPr>
      <w:r w:rsidRPr="005F780E">
        <w:rPr>
          <w:color w:val="auto"/>
          <w:sz w:val="22"/>
          <w:szCs w:val="22"/>
        </w:rPr>
        <w:t xml:space="preserve">6 montacargas de 11,000 libras de capacidad. </w:t>
      </w:r>
    </w:p>
    <w:p w:rsidR="00197AA0" w:rsidRPr="005F780E" w:rsidRDefault="00197AA0" w:rsidP="00232C32">
      <w:pPr>
        <w:pStyle w:val="Default"/>
        <w:numPr>
          <w:ilvl w:val="0"/>
          <w:numId w:val="24"/>
        </w:numPr>
        <w:spacing w:after="157" w:line="360" w:lineRule="auto"/>
        <w:ind w:left="1287" w:right="44"/>
        <w:jc w:val="both"/>
        <w:rPr>
          <w:color w:val="auto"/>
          <w:sz w:val="22"/>
          <w:szCs w:val="22"/>
        </w:rPr>
      </w:pPr>
      <w:r w:rsidRPr="005F780E">
        <w:rPr>
          <w:color w:val="auto"/>
          <w:sz w:val="22"/>
          <w:szCs w:val="22"/>
        </w:rPr>
        <w:t xml:space="preserve">6 montacargas de 20,000 libras de capacidad. </w:t>
      </w:r>
    </w:p>
    <w:p w:rsidR="00197AA0" w:rsidRPr="005F780E" w:rsidRDefault="00197AA0" w:rsidP="00232C32">
      <w:pPr>
        <w:pStyle w:val="Default"/>
        <w:numPr>
          <w:ilvl w:val="0"/>
          <w:numId w:val="24"/>
        </w:numPr>
        <w:spacing w:line="360" w:lineRule="auto"/>
        <w:ind w:left="1287" w:right="44"/>
        <w:jc w:val="both"/>
        <w:rPr>
          <w:color w:val="auto"/>
          <w:sz w:val="22"/>
          <w:szCs w:val="22"/>
        </w:rPr>
      </w:pPr>
      <w:r w:rsidRPr="005F780E">
        <w:rPr>
          <w:color w:val="auto"/>
          <w:sz w:val="22"/>
          <w:szCs w:val="22"/>
        </w:rPr>
        <w:t>1 montacargas de 15 toneladas de capacidad.</w:t>
      </w:r>
    </w:p>
    <w:p w:rsidR="00197AA0" w:rsidRPr="005F780E" w:rsidRDefault="00197AA0" w:rsidP="00232C32">
      <w:pPr>
        <w:spacing w:line="360" w:lineRule="auto"/>
        <w:ind w:right="44" w:firstLine="567"/>
        <w:jc w:val="both"/>
        <w:rPr>
          <w:rFonts w:ascii="Arial" w:hAnsi="Arial" w:cs="Arial"/>
          <w:sz w:val="22"/>
          <w:szCs w:val="22"/>
        </w:rPr>
      </w:pPr>
    </w:p>
    <w:p w:rsidR="00197AA0" w:rsidRPr="005F780E"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76" type="#_x0000_t202" style="position:absolute;left:0;text-align:left;margin-left:185.05pt;margin-top:145.4pt;width:48.4pt;height:21pt;z-index:251805696;mso-height-percent:200;mso-height-percent:200;mso-width-relative:margin;mso-height-relative:margin" fillcolor="white [3212]" stroked="f">
            <v:textbox style="mso-next-textbox:#_x0000_s1176;mso-fit-shape-to-text:t">
              <w:txbxContent>
                <w:p w:rsidR="00AC7D7B" w:rsidRDefault="00AC7D7B" w:rsidP="007467DF">
                  <w:r>
                    <w:t>128</w:t>
                  </w:r>
                </w:p>
              </w:txbxContent>
            </v:textbox>
          </v:shape>
        </w:pict>
      </w:r>
      <w:r w:rsidR="00197AA0" w:rsidRPr="005F780E">
        <w:rPr>
          <w:rFonts w:ascii="Arial" w:hAnsi="Arial" w:cs="Arial"/>
          <w:sz w:val="22"/>
          <w:szCs w:val="22"/>
        </w:rPr>
        <w:t>Adicionalmente el Puerto de Acajutla, dispone de un sistema de boyas utilizado para el atraque de buques tanque que abastecen las refinerías de ESSO y SHELL, con capacidad de atender buques de 12 metros de calado</w:t>
      </w:r>
      <w:r w:rsidR="00197AA0" w:rsidRPr="005F780E">
        <w:rPr>
          <w:rStyle w:val="Refdenotaalpie"/>
          <w:rFonts w:ascii="Arial" w:hAnsi="Arial" w:cs="Arial"/>
          <w:sz w:val="22"/>
          <w:szCs w:val="22"/>
        </w:rPr>
        <w:footnoteReference w:id="186"/>
      </w:r>
      <w:r w:rsidR="00197AA0" w:rsidRPr="005F780E">
        <w:rPr>
          <w:rFonts w:ascii="Arial" w:hAnsi="Arial" w:cs="Arial"/>
          <w:sz w:val="22"/>
          <w:szCs w:val="22"/>
        </w:rPr>
        <w:t xml:space="preserve">. </w:t>
      </w: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Sin embargo a pesar que el Puerto de Acajutla cuenta con este tipo de maquinarias, se reflejan los escasos mecanismos de tratamientos para la prevención de cualquier tipo de contaminación, en especial la de hidrocarburo, ya que actualmente el Puerto de Acajutla no cuenta con un servicio de recolección de aguas oleosas y sucias por parte del Puerto, además no posee un servicio de recolección de basura</w:t>
      </w:r>
      <w:r w:rsidRPr="005F780E">
        <w:rPr>
          <w:rStyle w:val="Refdenotaalpie"/>
          <w:rFonts w:ascii="Arial" w:hAnsi="Arial" w:cs="Arial"/>
          <w:sz w:val="22"/>
          <w:szCs w:val="22"/>
        </w:rPr>
        <w:footnoteReference w:id="187"/>
      </w:r>
      <w:r w:rsidRPr="005F780E">
        <w:rPr>
          <w:rFonts w:ascii="Arial" w:hAnsi="Arial" w:cs="Arial"/>
          <w:sz w:val="22"/>
          <w:szCs w:val="22"/>
        </w:rPr>
        <w:t>. De esta manera se puede observar las deficiencias que se presentan en este puerto para poder hacerle frente de mejor manera a cualquier accidente o eventualidad de contaminación por hidrocarburos en la zona.</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Por otro lado el Puerto de La Unión no se queda atrás, ya que a pesar que goza de una ventajosa ubicación y condiciones naturales que permitirá que la mayor parte de los contenedores y demás carga sea manipulada en esta terminal marítima y que en consecuencia traerá una gran afluencia de buques de gran calado, no se encuentra completamente preparado en materia de seguridad y protección de derrames. Ésto resulta bastante preocupante, ya que si se pretende convertir al Puerto de La Unión en un núcleo de distribución de carga del comercio internacional y de desarrollo regional y económico, debería de dársele mayor énfasis a este tema tan significativo como lo es el de los derrames y vertidos de hidrocarburos que resultaría altamente dañino tanto para la economía así como también para el hábitat natural de El Salvador. </w:t>
      </w:r>
    </w:p>
    <w:p w:rsidR="00197AA0" w:rsidRPr="005F780E"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i/>
          <w:sz w:val="22"/>
          <w:szCs w:val="22"/>
        </w:rPr>
      </w:pPr>
      <w:r w:rsidRPr="001D7573">
        <w:rPr>
          <w:rFonts w:ascii="Arial" w:hAnsi="Arial" w:cs="Arial"/>
          <w:noProof/>
          <w:sz w:val="22"/>
          <w:szCs w:val="22"/>
        </w:rPr>
        <w:pict>
          <v:shape id="_x0000_s1175" type="#_x0000_t202" style="position:absolute;left:0;text-align:left;margin-left:197.35pt;margin-top:291.1pt;width:45pt;height:21pt;z-index:251804672;mso-height-percent:200;mso-height-percent:200;mso-width-relative:margin;mso-height-relative:margin" fillcolor="white [3212]" stroked="f">
            <v:textbox style="mso-next-textbox:#_x0000_s1175;mso-fit-shape-to-text:t">
              <w:txbxContent>
                <w:p w:rsidR="00AC7D7B" w:rsidRDefault="00AC7D7B" w:rsidP="007467DF">
                  <w:r>
                    <w:t>129</w:t>
                  </w:r>
                </w:p>
              </w:txbxContent>
            </v:textbox>
          </v:shape>
        </w:pict>
      </w:r>
      <w:r w:rsidR="00197AA0" w:rsidRPr="005F780E">
        <w:rPr>
          <w:rFonts w:ascii="Arial" w:hAnsi="Arial" w:cs="Arial"/>
          <w:sz w:val="22"/>
          <w:szCs w:val="22"/>
        </w:rPr>
        <w:t xml:space="preserve">Ante la situación planteada, el puerto estaría supuesto a grandes niveles de contaminación por la misma actividad cotidiana de los buques de gran calado que transitarán en las aguas del Golfo de Fonseca. Para tener una idea del flujo marítimo que se tendrá en esta zona marítima y entender la necesidad del porqué se necesita  contar con los mecanismos de seguridad y protección de derrames, el Ing. Abelino Cruz expresó que con la construcción del muelle del puerto, aquellos buques que no puedan atracar en el Canal de Panamá o en cualquier puerto centroamericano, sí lo podrán hacer en el Puerto de La Unión, ya que posee la característica de tener una infraestructura de menos 15 metros; lo que le permite recibir buques Post Pánamax. En la misma línea, dicho Ingeniero apunta: </w:t>
      </w:r>
      <w:r w:rsidR="00197AA0" w:rsidRPr="005F780E">
        <w:rPr>
          <w:rFonts w:ascii="Arial" w:hAnsi="Arial" w:cs="Arial"/>
          <w:i/>
          <w:sz w:val="22"/>
          <w:szCs w:val="22"/>
        </w:rPr>
        <w:t>Desde México hasta Panamá ninguno tiene esta capacidad de hasta ocho mil TEUS que son contenedores desde 20 toneladas, haciendo más barato el traslado de mercaderías y disminuyendo el número de paradas portuarias, efectivizando el traslado y economizando el proceso.</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Dada las consideraciones anteriores, tanto el Puerto de Acajutla como el Puerto de La Unión carecen de los mecanismos de seguridad en relación a la protección de derrames, pues ambos puertos deberían de contar con un presupuesto destinado específicamente a la cuestión de la contaminación por hidrocarburos, de ahí que se deriva el hecho de no tener los fondos necesarios para destinarle al tema de la contaminación marina un porcentaje, para que éste se aplique de manera efectiva, ya que este tema se ha dejado muy de lado. </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Resulta bastante irónico que se esté buscando promover un desarrollo portuario ante la actual modernización que se realizó en el Puerto de La Unión, y que ante este contexto en el cual se espera que lleguen a atracar una gran diversidad de buques, se le dé únicamente prioridad a los intereses comerciales, y no así al tema de la seguridad y protección del medio ambiente marino. </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Este punto anteriormente planteado, se pudo confirmar durante la entrevista realizada al Ing. Milton Lacayo y el Ing. Abelino Cruz, en la cual la visión manifestada por estas autoridades era de naturaleza exclusivamente comercial y de ventajas de capacidad, ya que cuando se tuvo la oportunidad de entrevistarles, únicamente hablaban sobre los -15 metros de la terminal marítima que permitiría el arribo de buques Post </w:t>
      </w:r>
      <w:r w:rsidRPr="005F780E">
        <w:rPr>
          <w:rFonts w:ascii="Arial" w:hAnsi="Arial" w:cs="Arial"/>
          <w:sz w:val="22"/>
          <w:szCs w:val="22"/>
        </w:rPr>
        <w:lastRenderedPageBreak/>
        <w:t>Pánamax, lo cual los convertía en el único y principal puerto de la región centroamericana con estas ventajas competitivas, pero en ningún momento mencionaban aspectos relativos sobre los mecanismos de seguridad y prevención de contaminación marina que se aplicarían, ante el arribo de buques de tan grandes dimensiones que se esperan que lleguen a atracar a dicho puerto.</w:t>
      </w:r>
    </w:p>
    <w:p w:rsidR="00197AA0" w:rsidRPr="005F780E" w:rsidRDefault="00197AA0" w:rsidP="00232C32">
      <w:pPr>
        <w:spacing w:line="360" w:lineRule="auto"/>
        <w:ind w:right="44" w:firstLine="567"/>
        <w:jc w:val="both"/>
        <w:rPr>
          <w:rFonts w:ascii="Arial" w:hAnsi="Arial" w:cs="Arial"/>
          <w:sz w:val="22"/>
          <w:szCs w:val="22"/>
        </w:rPr>
      </w:pPr>
    </w:p>
    <w:p w:rsidR="00197AA0" w:rsidRPr="005F780E"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Con referencia a lo anterior, se puede establecer que ambos puertos nacionales como lo son el Puerto de Acajutla y el Puerto de La Unión, carecen de los mecanismos necesarios para crear un mejor marco de seguridad que pueda brindar las condiciones necesarias y adecuadas de confianza que evite en gran manera las posibilidades de cualquier accidente o riesgo de contaminación marina que se pudiera suscitar. </w:t>
      </w:r>
    </w:p>
    <w:p w:rsidR="00197AA0" w:rsidRPr="005F780E" w:rsidRDefault="001D7573" w:rsidP="00232C32">
      <w:pPr>
        <w:spacing w:line="360" w:lineRule="auto"/>
        <w:ind w:right="44"/>
        <w:jc w:val="both"/>
        <w:rPr>
          <w:rFonts w:ascii="Arial" w:hAnsi="Arial" w:cs="Arial"/>
          <w:b/>
          <w:sz w:val="22"/>
          <w:szCs w:val="22"/>
        </w:rPr>
      </w:pPr>
      <w:r w:rsidRPr="001D7573">
        <w:rPr>
          <w:rFonts w:ascii="Arial" w:hAnsi="Arial" w:cs="Arial"/>
          <w:noProof/>
          <w:sz w:val="22"/>
          <w:szCs w:val="22"/>
        </w:rPr>
        <w:pict>
          <v:shape id="_x0000_s1178" type="#_x0000_t202" style="position:absolute;left:0;text-align:left;margin-left:181.2pt;margin-top:41.65pt;width:48.4pt;height:21pt;z-index:251807744;mso-height-percent:200;mso-height-percent:200;mso-width-relative:margin;mso-height-relative:margin" fillcolor="white [3212]" stroked="f">
            <v:textbox style="mso-next-textbox:#_x0000_s1178;mso-fit-shape-to-text:t">
              <w:txbxContent>
                <w:p w:rsidR="00AC7D7B" w:rsidRDefault="00AC7D7B" w:rsidP="007467DF">
                  <w:r>
                    <w:t>130</w:t>
                  </w:r>
                </w:p>
              </w:txbxContent>
            </v:textbox>
          </v:shape>
        </w:pict>
      </w:r>
    </w:p>
    <w:p w:rsidR="00197AA0" w:rsidRPr="005F780E" w:rsidRDefault="00197AA0" w:rsidP="00232C32">
      <w:pPr>
        <w:spacing w:line="360" w:lineRule="auto"/>
        <w:ind w:right="44"/>
        <w:jc w:val="both"/>
        <w:rPr>
          <w:rFonts w:ascii="Arial" w:hAnsi="Arial" w:cs="Arial"/>
          <w:b/>
          <w:sz w:val="22"/>
          <w:szCs w:val="22"/>
        </w:rPr>
      </w:pPr>
      <w:r w:rsidRPr="005F780E">
        <w:rPr>
          <w:rFonts w:ascii="Arial" w:hAnsi="Arial" w:cs="Arial"/>
          <w:b/>
          <w:sz w:val="22"/>
          <w:szCs w:val="22"/>
        </w:rPr>
        <w:t>3.3.2 La Concesión del Puerto de La Unión: ¿alternativa para  fortalecer los mecanismos de prevención de contaminación marina por hidrocarburo?</w:t>
      </w:r>
    </w:p>
    <w:p w:rsidR="00197AA0"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Ahora bien, resulta importante abordar un aspecto relevante como lo es el tema de la concesión</w:t>
      </w:r>
      <w:r w:rsidRPr="005F780E">
        <w:rPr>
          <w:rStyle w:val="Refdenotaalpie"/>
          <w:rFonts w:ascii="Arial" w:hAnsi="Arial" w:cs="Arial"/>
          <w:sz w:val="22"/>
          <w:szCs w:val="22"/>
        </w:rPr>
        <w:footnoteReference w:customMarkFollows="1" w:id="188"/>
        <w:sym w:font="Symbol" w:char="F02A"/>
      </w:r>
      <w:r w:rsidRPr="005F780E">
        <w:rPr>
          <w:rStyle w:val="Refdenotaalpie"/>
          <w:rFonts w:ascii="Arial" w:hAnsi="Arial" w:cs="Arial"/>
          <w:sz w:val="22"/>
          <w:szCs w:val="22"/>
        </w:rPr>
        <w:t xml:space="preserve"> </w:t>
      </w:r>
      <w:r w:rsidRPr="005F780E">
        <w:rPr>
          <w:rFonts w:ascii="Arial" w:hAnsi="Arial" w:cs="Arial"/>
          <w:sz w:val="22"/>
          <w:szCs w:val="22"/>
        </w:rPr>
        <w:t>portuaria, ya que esta figura ha generado mucha controversia luego de la apertura del Puerto de La Unión, debido a que hasta el momento no se tiene una postura firme y oficial sobre el tema, más sin embargo, es fundamental estudiarlo desde un punto de vista en el cual, es necesario conocer, si a través de una concesión del Puerto de La Unión, se fortalecerían o se crearían nuevos mecanismos que ayuden a prevenir cualquier tipo de incidente de contaminación marina por hidrocarburos.</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 Ante este esquema, es necesario resaltar y conocer que la concesión es uno de los mecanismos empleados en la actualidad para la promoción de la inversión privada en los servicios públicos; mediante este mecanismo prácticamente el Estado delega la ejecución de la prestación de los servicios públicos a entidades privadas, asignándoles al efecto un régimen jurídico bajo el cual debe regirse dicha actuación. Sin embargo, el Estado no se limita a establecer el marco normativo para la gestión de las entidades privadas que </w:t>
      </w:r>
      <w:r w:rsidRPr="005F780E">
        <w:rPr>
          <w:rFonts w:ascii="Arial" w:hAnsi="Arial" w:cs="Arial"/>
          <w:sz w:val="22"/>
          <w:szCs w:val="22"/>
        </w:rPr>
        <w:lastRenderedPageBreak/>
        <w:t>obtengan la concesión del servicio o servicios públicos. El Estado, además del otorgamiento del marco normativo, se ocupa de controlar la gestión que desarrollen los concesionarios privados; es decir que se ejerce una supervisión de la ejecución de la prestación de los servicios públicos que haya delegado a entes particulares.</w:t>
      </w:r>
    </w:p>
    <w:p w:rsidR="00197AA0" w:rsidRPr="005F780E"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i/>
          <w:sz w:val="22"/>
          <w:szCs w:val="22"/>
        </w:rPr>
      </w:pPr>
      <w:r w:rsidRPr="001D7573">
        <w:rPr>
          <w:rFonts w:ascii="Arial" w:hAnsi="Arial" w:cs="Arial"/>
          <w:noProof/>
          <w:sz w:val="22"/>
          <w:szCs w:val="22"/>
        </w:rPr>
        <w:pict>
          <v:shape id="_x0000_s1177" type="#_x0000_t202" style="position:absolute;left:0;text-align:left;margin-left:202.55pt;margin-top:251.4pt;width:45pt;height:21pt;z-index:251806720;mso-height-percent:200;mso-height-percent:200;mso-width-relative:margin;mso-height-relative:margin" fillcolor="white [3212]" stroked="f">
            <v:textbox style="mso-next-textbox:#_x0000_s1177;mso-fit-shape-to-text:t">
              <w:txbxContent>
                <w:p w:rsidR="00AC7D7B" w:rsidRDefault="00AC7D7B" w:rsidP="007467DF">
                  <w:r>
                    <w:t>131</w:t>
                  </w:r>
                </w:p>
              </w:txbxContent>
            </v:textbox>
          </v:shape>
        </w:pict>
      </w:r>
      <w:r w:rsidR="00197AA0" w:rsidRPr="005F780E">
        <w:rPr>
          <w:rFonts w:ascii="Arial" w:hAnsi="Arial" w:cs="Arial"/>
          <w:sz w:val="22"/>
          <w:szCs w:val="22"/>
        </w:rPr>
        <w:t xml:space="preserve">Sin embargo, se han realizado estudios para demostrar que tipo de concesión es la más adecuada para el desarrollo del puerto. En este sentido expertos japoneses del JICA, luego de siete meses de estudio llegaron a la conclusión, que el tipo de concesión más adecuada para la terminal marítima es la concesión parcial, así lo manifestó Hidehiko Kuroda, jefe de la misión que elaboró el documento, el cual expresó: </w:t>
      </w:r>
      <w:r w:rsidR="00197AA0" w:rsidRPr="005F780E">
        <w:rPr>
          <w:rFonts w:ascii="Arial" w:hAnsi="Arial" w:cs="Arial"/>
          <w:i/>
          <w:sz w:val="22"/>
          <w:szCs w:val="22"/>
        </w:rPr>
        <w:t>El mejor modelo para operar el puerto es con el sistema de Landlord Port (concesión parcial), pero debido a las circunstancias de la economía es recomendable que lo opere CEPA, por algún tiempo, mientras puedan venir las empresas navieras a invertir</w:t>
      </w:r>
      <w:r w:rsidR="00197AA0" w:rsidRPr="005F780E">
        <w:rPr>
          <w:rStyle w:val="Refdenotaalpie"/>
          <w:rFonts w:ascii="Arial" w:hAnsi="Arial" w:cs="Arial"/>
          <w:i/>
          <w:sz w:val="22"/>
          <w:szCs w:val="22"/>
        </w:rPr>
        <w:footnoteReference w:id="189"/>
      </w:r>
      <w:r w:rsidR="00197AA0" w:rsidRPr="005F780E">
        <w:rPr>
          <w:rFonts w:ascii="Arial" w:hAnsi="Arial" w:cs="Arial"/>
          <w:i/>
          <w:sz w:val="22"/>
          <w:szCs w:val="22"/>
        </w:rPr>
        <w:t>.</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En esta misma línea Kuroda explica en qué consiste la concesión parcial, definiéndola como el modelo en el cual el Gobierno Salvadoreño arrienda</w:t>
      </w:r>
      <w:r w:rsidRPr="005F780E">
        <w:rPr>
          <w:rStyle w:val="Refdenotaalpie"/>
          <w:rFonts w:ascii="Arial" w:hAnsi="Arial" w:cs="Arial"/>
          <w:sz w:val="22"/>
          <w:szCs w:val="22"/>
        </w:rPr>
        <w:footnoteReference w:customMarkFollows="1" w:id="190"/>
        <w:sym w:font="Symbol" w:char="F02A"/>
      </w:r>
      <w:r w:rsidRPr="005F780E">
        <w:rPr>
          <w:rFonts w:ascii="Arial" w:hAnsi="Arial" w:cs="Arial"/>
          <w:sz w:val="22"/>
          <w:szCs w:val="22"/>
        </w:rPr>
        <w:t xml:space="preserve"> a un concesionario la terminal portuaria, pero además es responsable de tomar las medidas necesarias para la continuidad de la prestación de los servicios establecidos en un contrato. Ante el tipo de concesión planteada anteriormente, es importante resaltar que la concesión en sí, es uno de los sistemas más típicos de participación de la empresa privada en la gestión portuaria, mediante esta, el contratista privado o concesionario tiene la responsabilidad total respecto de los servicios concesionarios, incluyendo las operaciones para la prestación de los mismos, el mantenimiento de las instalaciones correspondientes, así como las inversiones de capital, necesarias para la realización de las instalaciones o para su expansión. Además los bienes inmuebles fijos aportados o construidos por el contratista a lo largo del período concesional, revierten una vez terminado dicho lapso, a la administración portuaria</w:t>
      </w:r>
      <w:r w:rsidRPr="005F780E">
        <w:rPr>
          <w:rStyle w:val="Refdenotaalpie"/>
          <w:rFonts w:ascii="Arial" w:hAnsi="Arial" w:cs="Arial"/>
          <w:sz w:val="22"/>
          <w:szCs w:val="22"/>
        </w:rPr>
        <w:footnoteReference w:id="191"/>
      </w:r>
      <w:r w:rsidRPr="005F780E">
        <w:rPr>
          <w:rFonts w:ascii="Arial" w:hAnsi="Arial" w:cs="Arial"/>
          <w:sz w:val="22"/>
          <w:szCs w:val="22"/>
        </w:rPr>
        <w:t>.</w:t>
      </w:r>
    </w:p>
    <w:p w:rsidR="00197AA0" w:rsidRPr="005F780E"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80" type="#_x0000_t202" style="position:absolute;left:0;text-align:left;margin-left:165.45pt;margin-top:345.2pt;width:48.4pt;height:21pt;z-index:251809792;mso-height-percent:200;mso-height-percent:200;mso-width-relative:margin;mso-height-relative:margin" fillcolor="white [3212]" stroked="f">
            <v:textbox style="mso-next-textbox:#_x0000_s1180;mso-fit-shape-to-text:t">
              <w:txbxContent>
                <w:p w:rsidR="00AC7D7B" w:rsidRDefault="00AC7D7B" w:rsidP="007467DF">
                  <w:r>
                    <w:t>132</w:t>
                  </w:r>
                </w:p>
              </w:txbxContent>
            </v:textbox>
          </v:shape>
        </w:pict>
      </w:r>
      <w:r w:rsidR="00197AA0" w:rsidRPr="005F780E">
        <w:rPr>
          <w:rFonts w:ascii="Arial" w:hAnsi="Arial" w:cs="Arial"/>
          <w:sz w:val="22"/>
          <w:szCs w:val="22"/>
        </w:rPr>
        <w:t xml:space="preserve">Es por esta razón, en relación al Puerto de La Unión,  que se han suscitado distintas visiones, como fue la propuesta del Gobierno de ARENA, en la antigua </w:t>
      </w:r>
      <w:r w:rsidR="00197AA0" w:rsidRPr="005F780E">
        <w:rPr>
          <w:rFonts w:ascii="Arial" w:hAnsi="Arial" w:cs="Arial"/>
          <w:sz w:val="22"/>
          <w:szCs w:val="22"/>
        </w:rPr>
        <w:lastRenderedPageBreak/>
        <w:t xml:space="preserve">administración, en la cual se establecía que en caso de haber una concesión, el plazo para esta sería de 25 años, y podría ser prorrogado anticipadamente una vez se haya alcanzado un nivel de tráfico de 425,000 TEUS. Además la visión del entonces presidente de la República de El Salvador, Antonio Saca, manifestaba que su preferencia: </w:t>
      </w:r>
      <w:r w:rsidR="00197AA0" w:rsidRPr="005F780E">
        <w:rPr>
          <w:rFonts w:ascii="Arial" w:hAnsi="Arial" w:cs="Arial"/>
          <w:i/>
          <w:iCs/>
          <w:sz w:val="22"/>
          <w:szCs w:val="22"/>
        </w:rPr>
        <w:t>Era que el Estado tuviera el control, y por eso su propuesta, iba en la línea en que el Estado, se quedara con el 51% de las acciones y solo se concediera el 49% al operador internacional aunque lanzó salvedades, argumentando que si esto representaba un obstáculo para que pueda venir capital extranjero y esto demandar un nivel de inversión mayor, yo no estaría en contra de que se aumentara la participación del socio estratégico de capital privado, siempre y cuando se le deje al Estado, la posibilidad de una participación accionaria que le permita tomar decisiones y garantizar un manejo eficiente</w:t>
      </w:r>
      <w:r w:rsidR="00197AA0" w:rsidRPr="005F780E">
        <w:rPr>
          <w:rStyle w:val="Refdenotaalpie"/>
          <w:rFonts w:ascii="Arial" w:hAnsi="Arial" w:cs="Arial"/>
          <w:i/>
          <w:iCs/>
          <w:sz w:val="22"/>
          <w:szCs w:val="22"/>
        </w:rPr>
        <w:footnoteReference w:id="192"/>
      </w:r>
      <w:r w:rsidR="00197AA0" w:rsidRPr="005F780E">
        <w:rPr>
          <w:rFonts w:ascii="Arial" w:hAnsi="Arial" w:cs="Arial"/>
          <w:sz w:val="22"/>
          <w:szCs w:val="22"/>
        </w:rPr>
        <w:t>.</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Es de esta manera que desde el inicio de la construcción del Puerto de La Unión, han habido 14 empresas interesadas en la concesión, entre ellas están operadores portuarios, compañías navieras, operadores logísticos e inversionistas, que han manifestado su interés en participar en el proceso de concesión, ante esto, es primordial resaltar que lo relativo a la concesión portuaria en El Salvador, es aún, un tema no resuelto en el cual se enfrentan perspectivas muy diferentes sobre el papel o rol que le corresponde jugar al Estado, en este tipo de actividades económicas. Sin lugar a dudas el peso de las tendencias que se han venido desarrollando en el sector naviero, marítimo y portuario serán factores que determinarán la forma como dicho tema se resolverá en El Salvador, sobre todo dándosele énfasis al tema de los mecanismos que garanticen una amplia seguridad marítima.</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Otras de las posturas planteadas, fue la que realizó el Ing. Abelino Cruz  que desde su punto de vista considera conveniente que se opere el Puerto de La Unión por un período de cinco años, y posterior a ese lapso, establecer parámetros con la banca internacional para establecer las bases y los términos de referencia, para en un futuro plantear la eventual concesión. Dicho estudio actualmente es llevado a cabo por expertos, posteriormente se hará presente la propuesta y finalmente se generarán los trámites de concesión. Esto se aplicaría también para el porcentaje de participación del </w:t>
      </w:r>
      <w:r w:rsidRPr="005F780E">
        <w:rPr>
          <w:rFonts w:ascii="Arial" w:hAnsi="Arial" w:cs="Arial"/>
          <w:sz w:val="22"/>
          <w:szCs w:val="22"/>
        </w:rPr>
        <w:lastRenderedPageBreak/>
        <w:t>Estado donde es necesario un estudio especializado por un personal experto que determine el porcentaje idóneo para la concesión del Puerto de La Unión.</w:t>
      </w:r>
    </w:p>
    <w:p w:rsidR="00197AA0" w:rsidRPr="005F780E"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79" type="#_x0000_t202" style="position:absolute;left:0;text-align:left;margin-left:197.85pt;margin-top:190.5pt;width:45pt;height:21pt;z-index:251808768;mso-height-percent:200;mso-height-percent:200;mso-width-relative:margin;mso-height-relative:margin" fillcolor="white [3212]" stroked="f">
            <v:textbox style="mso-next-textbox:#_x0000_s1179;mso-fit-shape-to-text:t">
              <w:txbxContent>
                <w:p w:rsidR="00AC7D7B" w:rsidRDefault="00AC7D7B" w:rsidP="007467DF">
                  <w:r>
                    <w:t>133</w:t>
                  </w:r>
                </w:p>
              </w:txbxContent>
            </v:textbox>
          </v:shape>
        </w:pict>
      </w:r>
      <w:r w:rsidR="00197AA0" w:rsidRPr="005F780E">
        <w:rPr>
          <w:rFonts w:ascii="Arial" w:hAnsi="Arial" w:cs="Arial"/>
          <w:sz w:val="22"/>
          <w:szCs w:val="22"/>
        </w:rPr>
        <w:t xml:space="preserve"> Por otro lado la posición del Ing. Milton Lacayo ha sido manejada con dualidad, debido a que de manera oficial ha sostenido planteamientos de concesionar en un futuro dicha terminal marítima, pero por otro lado en una entrevista realizada en fecha martes 7 de junio de 2010, manifestó que se cuenta con un personal capacitado para manejar correctamente el Puerto La Unión, y que esta gente está con muchos deseos de aprender. Que el puerto al ser manejado con gente salvadoreña va a ser uno de los mejores del mundo. Además otro punto a favor según la visión de Milton Lacayo, es que ellos cuentan con un instituto como lo es el Megatec, que ha dado mucho personal con muchos conocimientos sobre las grúas RTG y con muchos deseos de aprender. </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Contrastando las posturas que se manejan en los sitios oficiales de CEPA, referente a la posición planteada por el Ing. Milton Lacayo, es importante mencionar que se realizó un estudio sobre el pensum de la carrera de administración y operación portuaria, impartida por el Megatec, en el cual se pudo constatar que dentro de las 16 materias, ninguna estaba orientada específicamente a tratar el tema de la seguridad marítima, específicamente en relación al área de la contaminación marina por hidrocarburos. Además otro aspecto cuestionable de la visión planteada por Milton Lacayo, es que se toma como única fuente a dicho instituto para contratar personal, cuando esta institución no brinda cursos que son aprobados por la OMI y que también sus años de experiencia aún no lo respaldan, ya que comenzaron a operar desde el año 2006.</w:t>
      </w:r>
    </w:p>
    <w:p w:rsidR="00197AA0" w:rsidRPr="005F780E" w:rsidRDefault="00197AA0" w:rsidP="00232C32">
      <w:pPr>
        <w:spacing w:line="360" w:lineRule="auto"/>
        <w:ind w:right="44" w:firstLine="567"/>
        <w:jc w:val="both"/>
        <w:rPr>
          <w:rFonts w:ascii="Arial" w:hAnsi="Arial" w:cs="Arial"/>
          <w:sz w:val="22"/>
          <w:szCs w:val="22"/>
        </w:rPr>
      </w:pPr>
    </w:p>
    <w:p w:rsidR="00197AA0"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Por este motivo, la figura de la concesión no debe ser vista realmente como un problema, ni tampoco como una receta mágica a seguir, debido a que no necesariamente porque funcione de buena manera en un determinado país, funcionará en El Salvador, sino que se debe realizar un exhausto estudio en el cual se puedan ver cuales serían aquellos beneficios en favor de un desarrollo portuario. Es por esta razón, que  una de las alternativas sería no solo concesionar todo el Puerto de La Unión, sino que también observar cuales son aquellas áreas en las cuales se tiene poca capacidad para manejarlo de la mejor manera, como por ejemplo, concesionar el servicio de limpieza de contaminación marina, por medio de una licitación y el que ofrezca la mejor calidad en </w:t>
      </w:r>
      <w:r w:rsidRPr="005F780E">
        <w:rPr>
          <w:rFonts w:ascii="Arial" w:hAnsi="Arial" w:cs="Arial"/>
          <w:sz w:val="22"/>
          <w:szCs w:val="22"/>
        </w:rPr>
        <w:lastRenderedPageBreak/>
        <w:t>servicios, entonces a esa empresa se le daría la labor. La tendencia actual es evolucionar hacia los landlord port de manera que las autoridades portuarias se conviertan en gestores de un territorio y de unos  servicios que son cedidos en régimen de concesión a operadores privados para su explotación a cambio de  un canon de utilización</w:t>
      </w:r>
      <w:r w:rsidRPr="005F780E">
        <w:rPr>
          <w:rStyle w:val="Refdenotaalpie"/>
          <w:rFonts w:ascii="Arial" w:hAnsi="Arial" w:cs="Arial"/>
          <w:sz w:val="22"/>
          <w:szCs w:val="22"/>
        </w:rPr>
        <w:footnoteReference w:id="193"/>
      </w:r>
      <w:r w:rsidRPr="005F780E">
        <w:rPr>
          <w:rFonts w:ascii="Arial" w:hAnsi="Arial" w:cs="Arial"/>
          <w:sz w:val="22"/>
          <w:szCs w:val="22"/>
        </w:rPr>
        <w:t>.</w:t>
      </w:r>
    </w:p>
    <w:p w:rsidR="00197AA0" w:rsidRPr="005F780E" w:rsidRDefault="00197AA0" w:rsidP="00232C32">
      <w:pPr>
        <w:spacing w:line="360" w:lineRule="auto"/>
        <w:ind w:right="44" w:firstLine="567"/>
        <w:jc w:val="both"/>
        <w:rPr>
          <w:rFonts w:ascii="Arial" w:hAnsi="Arial" w:cs="Arial"/>
          <w:sz w:val="22"/>
          <w:szCs w:val="22"/>
        </w:rPr>
      </w:pPr>
    </w:p>
    <w:p w:rsidR="00197AA0" w:rsidRDefault="001D7573" w:rsidP="00232C32">
      <w:pPr>
        <w:spacing w:line="360" w:lineRule="auto"/>
        <w:ind w:right="44" w:firstLine="567"/>
        <w:jc w:val="both"/>
        <w:rPr>
          <w:rFonts w:ascii="Arial" w:hAnsi="Arial" w:cs="Arial"/>
          <w:sz w:val="22"/>
          <w:szCs w:val="22"/>
        </w:rPr>
      </w:pPr>
      <w:r>
        <w:rPr>
          <w:rFonts w:ascii="Arial" w:hAnsi="Arial" w:cs="Arial"/>
          <w:noProof/>
          <w:sz w:val="22"/>
          <w:szCs w:val="22"/>
        </w:rPr>
        <w:pict>
          <v:shape id="_x0000_s1182" type="#_x0000_t202" style="position:absolute;left:0;text-align:left;margin-left:157.6pt;margin-top:129.8pt;width:48.4pt;height:21pt;z-index:251811840;mso-height-percent:200;mso-height-percent:200;mso-width-relative:margin;mso-height-relative:margin" fillcolor="white [3212]" stroked="f">
            <v:textbox style="mso-next-textbox:#_x0000_s1182;mso-fit-shape-to-text:t">
              <w:txbxContent>
                <w:p w:rsidR="00AC7D7B" w:rsidRDefault="00AC7D7B" w:rsidP="007467DF">
                  <w:r>
                    <w:t>134</w:t>
                  </w:r>
                </w:p>
              </w:txbxContent>
            </v:textbox>
          </v:shape>
        </w:pict>
      </w:r>
      <w:r w:rsidR="00197AA0" w:rsidRPr="005F780E">
        <w:rPr>
          <w:rFonts w:ascii="Arial" w:hAnsi="Arial" w:cs="Arial"/>
          <w:sz w:val="22"/>
          <w:szCs w:val="22"/>
        </w:rPr>
        <w:t xml:space="preserve">Ante este escenario planteado, es necesario concretizar en que la tendencia en el mundo, es que la mayoría de actividades portuarias queden en manos privadas pero ante esto, resulta importante la participación del Estado en la fiscalización y que además en un futuro se lleguen a crear otros paradigmas que incluyan más al Estado, aunque estas tendencias resultan muy difíciles de vencer; todo está en los porcentajes que las empresas privadas le otorguen al Estado en donde si este último no tiene cómo invertir, no tiene como reclamar acciones; es decir que habría que tener en cuenta la inversión que el Estado pueda realizar. </w:t>
      </w:r>
    </w:p>
    <w:p w:rsidR="00197AA0" w:rsidRPr="005F780E" w:rsidRDefault="00197AA0" w:rsidP="00232C32">
      <w:pPr>
        <w:spacing w:line="360" w:lineRule="auto"/>
        <w:ind w:right="44" w:firstLine="567"/>
        <w:jc w:val="both"/>
        <w:rPr>
          <w:rFonts w:ascii="Arial" w:hAnsi="Arial" w:cs="Arial"/>
          <w:sz w:val="22"/>
          <w:szCs w:val="22"/>
        </w:rPr>
      </w:pPr>
    </w:p>
    <w:p w:rsidR="00197AA0" w:rsidRPr="005F780E" w:rsidRDefault="00197AA0" w:rsidP="00232C32">
      <w:pPr>
        <w:spacing w:line="360" w:lineRule="auto"/>
        <w:ind w:right="44" w:firstLine="567"/>
        <w:jc w:val="both"/>
        <w:rPr>
          <w:rFonts w:ascii="Arial" w:hAnsi="Arial" w:cs="Arial"/>
          <w:sz w:val="22"/>
          <w:szCs w:val="22"/>
        </w:rPr>
      </w:pPr>
      <w:r w:rsidRPr="005F780E">
        <w:rPr>
          <w:rFonts w:ascii="Arial" w:hAnsi="Arial" w:cs="Arial"/>
          <w:sz w:val="22"/>
          <w:szCs w:val="22"/>
        </w:rPr>
        <w:t xml:space="preserve">En esta misma línea, es importante mencionar que si se decide concesionar todo el Puerto La Unión, a una empresa privada, se debe redactar una ley de concesión o un marco legal regulatorio, que se adecúe a obtener beneficios para el país, en el cual se establezcan las bases y reglas de juego, bajo las cuales se sometería la empresa que administraría el puerto, además realizar un estudio de los rendimientos de efectividad y desarrollo en los demás puertos a nivel mundial que están a cargo o bajo la administración por parte de la empresa concesionaria. Cabe agregar que independientemente se concesione el Puerto de La Unión en su totalidad o solamente algunas áreas, dicha concesión que se llegue a dar en un futuro debe ir encaminada a darle mayor prioridad al tema de los mecanismos y técnicas, que ayuden o faciliten a prevenir cualquier tipo de accidente de contaminación por hidrocarburo en la zona del Golfo de Fonseca.  </w:t>
      </w:r>
    </w:p>
    <w:p w:rsidR="00197AA0" w:rsidRPr="005F780E" w:rsidRDefault="00197AA0" w:rsidP="00232C32">
      <w:pPr>
        <w:spacing w:line="360" w:lineRule="auto"/>
        <w:ind w:right="44"/>
        <w:jc w:val="both"/>
        <w:rPr>
          <w:rFonts w:ascii="Arial" w:hAnsi="Arial" w:cs="Arial"/>
          <w:sz w:val="22"/>
          <w:szCs w:val="22"/>
        </w:rPr>
      </w:pPr>
    </w:p>
    <w:p w:rsidR="00197AA0" w:rsidRPr="005F780E" w:rsidRDefault="00197AA0" w:rsidP="00232C32">
      <w:pPr>
        <w:spacing w:line="360" w:lineRule="auto"/>
        <w:ind w:right="44"/>
        <w:jc w:val="both"/>
        <w:rPr>
          <w:rFonts w:ascii="Arial" w:hAnsi="Arial" w:cs="Arial"/>
          <w:b/>
          <w:color w:val="000000"/>
          <w:sz w:val="22"/>
          <w:szCs w:val="22"/>
        </w:rPr>
      </w:pPr>
      <w:r w:rsidRPr="005F780E">
        <w:rPr>
          <w:rFonts w:ascii="Arial" w:hAnsi="Arial" w:cs="Arial"/>
          <w:b/>
          <w:color w:val="000000"/>
          <w:sz w:val="22"/>
          <w:szCs w:val="22"/>
        </w:rPr>
        <w:t xml:space="preserve">3.4 Conclusión </w:t>
      </w:r>
    </w:p>
    <w:p w:rsidR="00197AA0" w:rsidRDefault="00197AA0" w:rsidP="00232C32">
      <w:pPr>
        <w:spacing w:line="360" w:lineRule="auto"/>
        <w:ind w:right="44" w:firstLine="567"/>
        <w:jc w:val="both"/>
        <w:rPr>
          <w:rFonts w:ascii="Arial" w:hAnsi="Arial" w:cs="Arial"/>
          <w:color w:val="000000"/>
          <w:sz w:val="22"/>
          <w:szCs w:val="22"/>
        </w:rPr>
      </w:pPr>
    </w:p>
    <w:p w:rsidR="00197AA0" w:rsidRPr="005F780E"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 Para concluir es importante mencionar que desde el inicio de la construcción del Puerto de la Unión muchos medios de comunicación se han dedicado a publicar muchas cuestiones sobre el desarrollo portuario que se daría en El Salvador, así como también se </w:t>
      </w:r>
      <w:r w:rsidRPr="005F780E">
        <w:rPr>
          <w:rFonts w:ascii="Arial" w:hAnsi="Arial" w:cs="Arial"/>
          <w:color w:val="000000"/>
          <w:sz w:val="22"/>
          <w:szCs w:val="22"/>
        </w:rPr>
        <w:lastRenderedPageBreak/>
        <w:t xml:space="preserve">ha hecho énfasis en las ventajas competitivas que ofrece dicha terminal marítima sobre el Puerto de Acajutla e inclusive sobre los demás puertos de la región centroamericana, pero es interesante destacar que muy poco o casi nada se habla sobre la capacidad real del Puerto de La Unión para enfrentar cualquier accidente de contaminación por hidrocarburo, esto refleja la falta de interés que se tiene sobre este tipo de temas por parte de las autoridades competentes en materia portuaria. </w:t>
      </w:r>
    </w:p>
    <w:p w:rsidR="00197AA0" w:rsidRDefault="00197AA0" w:rsidP="00232C32">
      <w:pPr>
        <w:spacing w:line="360" w:lineRule="auto"/>
        <w:ind w:right="44" w:firstLine="567"/>
        <w:jc w:val="both"/>
        <w:rPr>
          <w:rFonts w:ascii="Arial" w:hAnsi="Arial" w:cs="Arial"/>
          <w:color w:val="000000"/>
          <w:sz w:val="22"/>
          <w:szCs w:val="22"/>
        </w:rPr>
      </w:pPr>
    </w:p>
    <w:p w:rsidR="00197AA0" w:rsidRPr="005F780E" w:rsidRDefault="001D7573" w:rsidP="00232C32">
      <w:pPr>
        <w:spacing w:line="360" w:lineRule="auto"/>
        <w:ind w:right="44" w:firstLine="567"/>
        <w:jc w:val="both"/>
        <w:rPr>
          <w:rFonts w:ascii="Arial" w:hAnsi="Arial" w:cs="Arial"/>
          <w:color w:val="000000"/>
          <w:sz w:val="22"/>
          <w:szCs w:val="22"/>
        </w:rPr>
      </w:pPr>
      <w:r w:rsidRPr="001D7573">
        <w:rPr>
          <w:rFonts w:ascii="Arial" w:hAnsi="Arial" w:cs="Arial"/>
          <w:noProof/>
          <w:sz w:val="22"/>
          <w:szCs w:val="22"/>
        </w:rPr>
        <w:pict>
          <v:shape id="_x0000_s1181" type="#_x0000_t202" style="position:absolute;left:0;text-align:left;margin-left:200.45pt;margin-top:83.2pt;width:45pt;height:21pt;z-index:251810816;mso-height-percent:200;mso-height-percent:200;mso-width-relative:margin;mso-height-relative:margin" fillcolor="white [3212]" stroked="f">
            <v:textbox style="mso-next-textbox:#_x0000_s1181;mso-fit-shape-to-text:t">
              <w:txbxContent>
                <w:p w:rsidR="00AC7D7B" w:rsidRDefault="00AC7D7B" w:rsidP="007467DF">
                  <w:r>
                    <w:t>135</w:t>
                  </w:r>
                </w:p>
              </w:txbxContent>
            </v:textbox>
          </v:shape>
        </w:pict>
      </w:r>
      <w:r w:rsidR="00197AA0" w:rsidRPr="005F780E">
        <w:rPr>
          <w:rFonts w:ascii="Arial" w:hAnsi="Arial" w:cs="Arial"/>
          <w:color w:val="000000"/>
          <w:sz w:val="22"/>
          <w:szCs w:val="22"/>
        </w:rPr>
        <w:t>Ante este contexto resultó interesante revelar la realidad del puerto, es decir que se contó con la oportunidad de entrevistar a una serie de ejecutivos de altos rangos de las diversas instituciones competentes en materia marítima portuaria como la AMP y CEPA; que ofrecieron su punto de vista con respecto al tema del desarrollo portuario, como también en relación a las perspectivas de contaminación marina por hidrocarburos en la zona, de ahí que se pudo constatar la carencia de mecanismos y técnicas para prevenir cualquier tipo de contaminación marina, así como también se pudo comprobar la fragilidad con la que dichas autoridades manejaban el tema del desarrollo portuario, y la falta de conocimiento del derecho marítimo, ante esto resulta importante resaltar que estos ejecutivos que actualmente ocupan cargos de mucha importancia carezcan de conocimientos básicos sobre cuestiones portuarias, ya que estos mismos desconocían la existencia de convenios y protocolos de mucha relevancia como el MARPOL, SOLAS, FONDO, por mencionar algunos, que son de suma transcendencia conocerlos, desde el momento en el que El Salvador impulsa un desarrollo portuario en la zona del Golfo de Fonseca.</w:t>
      </w:r>
    </w:p>
    <w:p w:rsidR="00197AA0" w:rsidRDefault="00197AA0" w:rsidP="00232C32">
      <w:pPr>
        <w:spacing w:line="360" w:lineRule="auto"/>
        <w:ind w:right="44" w:firstLine="567"/>
        <w:jc w:val="both"/>
        <w:rPr>
          <w:rFonts w:ascii="Arial" w:hAnsi="Arial" w:cs="Arial"/>
          <w:color w:val="000000"/>
          <w:sz w:val="22"/>
          <w:szCs w:val="22"/>
        </w:rPr>
      </w:pPr>
    </w:p>
    <w:p w:rsidR="00197AA0" w:rsidRPr="005F780E" w:rsidRDefault="00197AA0" w:rsidP="00232C32">
      <w:pPr>
        <w:spacing w:line="360" w:lineRule="auto"/>
        <w:ind w:right="44" w:firstLine="567"/>
        <w:jc w:val="both"/>
        <w:rPr>
          <w:rFonts w:ascii="Arial" w:hAnsi="Arial" w:cs="Arial"/>
          <w:color w:val="000000"/>
          <w:sz w:val="22"/>
          <w:szCs w:val="22"/>
        </w:rPr>
      </w:pPr>
      <w:r w:rsidRPr="005F780E">
        <w:rPr>
          <w:rFonts w:ascii="Arial" w:hAnsi="Arial" w:cs="Arial"/>
          <w:color w:val="000000"/>
          <w:sz w:val="22"/>
          <w:szCs w:val="22"/>
        </w:rPr>
        <w:t xml:space="preserve"> Así mismo cabe mencionar un factor que llamó mucho la atención, cuando se tuvo la oportunidad de poder conocer de primera mano las instalaciones administrativas del Puerto de La Unión, en donde se pudo constatar que se le ha dado una gran prioridad a las oficinas y demás infraestructura administrativa, las cuales estaban equipadas con la tecnología más reciente y novedosa, resultando esto contrastante ya que se pudo observar que se le ha dado mayor relevancia e importancia a la comodidad del personal que a otros aspectos que deberían realmente gozar de una mayor atención, como lo es contar con toda la maquinaria necesaria y el personal capacitado, para hacerle frente a un suceso de contaminación marina por hidrocarburo en la zona, ya que las perspectivas de contaminación por hidrocarburos son bastante elevadas, a pesar que en la actualidad el flujo de buques no es tan frecuente, si se puede plantear que hay grandes </w:t>
      </w:r>
      <w:r w:rsidRPr="005F780E">
        <w:rPr>
          <w:rFonts w:ascii="Arial" w:hAnsi="Arial" w:cs="Arial"/>
          <w:color w:val="000000"/>
          <w:sz w:val="22"/>
          <w:szCs w:val="22"/>
        </w:rPr>
        <w:lastRenderedPageBreak/>
        <w:t xml:space="preserve">probabilidades de contaminación por el simple hecho de la actividad cotidiana de los buques de gran calado que transitarán en el Golfo de Fonseca, y más aún cuando se finalice la terminal de hidrocarburos que está todavía en planes de construcción, todo esto debería de tomarse más en consideración por parte de las autoridades competentes en materia portuaria, esto si en realidad se busca que el Puerto de La Unión se ofrezca y se venda como un centro de logística a nivel regional, tal como se ha venido publicando en los medios de comunicación. </w:t>
      </w:r>
    </w:p>
    <w:p w:rsidR="00197AA0" w:rsidRDefault="00197AA0" w:rsidP="00232C32">
      <w:pPr>
        <w:spacing w:line="360" w:lineRule="auto"/>
        <w:ind w:right="44" w:firstLine="567"/>
        <w:jc w:val="both"/>
        <w:rPr>
          <w:rFonts w:ascii="Arial" w:hAnsi="Arial" w:cs="Arial"/>
          <w:color w:val="000000"/>
          <w:sz w:val="22"/>
          <w:szCs w:val="22"/>
        </w:rPr>
      </w:pPr>
    </w:p>
    <w:p w:rsidR="00197AA0" w:rsidRPr="005F780E" w:rsidRDefault="001D7573" w:rsidP="00232C32">
      <w:pPr>
        <w:spacing w:line="360" w:lineRule="auto"/>
        <w:ind w:right="44" w:firstLine="567"/>
        <w:jc w:val="both"/>
        <w:rPr>
          <w:rFonts w:ascii="Arial" w:hAnsi="Arial" w:cs="Arial"/>
          <w:color w:val="000000"/>
          <w:sz w:val="22"/>
          <w:szCs w:val="22"/>
        </w:rPr>
      </w:pPr>
      <w:r>
        <w:rPr>
          <w:rFonts w:ascii="Arial" w:hAnsi="Arial" w:cs="Arial"/>
          <w:noProof/>
          <w:color w:val="000000"/>
          <w:sz w:val="22"/>
          <w:szCs w:val="22"/>
        </w:rPr>
        <w:pict>
          <v:shape id="_x0000_s1184" type="#_x0000_t202" style="position:absolute;left:0;text-align:left;margin-left:192.95pt;margin-top:60.6pt;width:48.4pt;height:21pt;z-index:251813888;mso-height-percent:200;mso-height-percent:200;mso-width-relative:margin;mso-height-relative:margin" fillcolor="white [3212]" stroked="f">
            <v:textbox style="mso-next-textbox:#_x0000_s1184;mso-fit-shape-to-text:t">
              <w:txbxContent>
                <w:p w:rsidR="00AC7D7B" w:rsidRDefault="00AC7D7B" w:rsidP="007467DF">
                  <w:r>
                    <w:t>136</w:t>
                  </w:r>
                </w:p>
              </w:txbxContent>
            </v:textbox>
          </v:shape>
        </w:pict>
      </w:r>
      <w:r w:rsidR="00197AA0" w:rsidRPr="005F780E">
        <w:rPr>
          <w:rFonts w:ascii="Arial" w:hAnsi="Arial" w:cs="Arial"/>
          <w:color w:val="000000"/>
          <w:sz w:val="22"/>
          <w:szCs w:val="22"/>
        </w:rPr>
        <w:t xml:space="preserve">Más sin embargo también hay que aclarar que según el estudio realizado, no sólo el Puerto de La Unión está impulsando un desarrollo portuario como lo publican los medios de comunicación, haciendo ver a dicho puerto como el único centro logístico regional que logrará impulsar a El Salvador a la plataforma internacional como un puerto altamente competitivo; si no que también los demás puertos de la región centroamericana están actualmente modernizando sus instalaciones como por ejemplo Panamá, Guatemala y Honduras que están adecuándose y ajustándose a la dinámica internacional, renovándose en cuestiones relacionadas a la prevención de futuros accidentes de contaminación por hidrocarburo, actualizando sus respectivas terminales portuarias con personal altamente capacitado, esto significa que El Salvador tendrá que reforzar el Puerto de La Unión en esta área tan importante como lo es la contaminación por hidrocarburos y enfrentarse a un escenario  internacional bastante competitivo, para poder sobresalir en el medio y lograr tener un desarrollo portuario de calidad que en la práctica de verdad posicione al país como centro logístico regional. </w:t>
      </w:r>
    </w:p>
    <w:p w:rsidR="00197AA0" w:rsidRPr="005F780E" w:rsidRDefault="00197AA0" w:rsidP="00232C32">
      <w:pPr>
        <w:pStyle w:val="NormalWeb"/>
        <w:spacing w:line="360" w:lineRule="auto"/>
        <w:ind w:right="44"/>
        <w:jc w:val="both"/>
        <w:rPr>
          <w:rFonts w:ascii="Arial" w:hAnsi="Arial" w:cs="Arial"/>
          <w:b/>
          <w:sz w:val="22"/>
          <w:szCs w:val="22"/>
        </w:rPr>
      </w:pPr>
    </w:p>
    <w:p w:rsidR="00197AA0" w:rsidRPr="005F780E" w:rsidRDefault="00197AA0" w:rsidP="00232C32">
      <w:pPr>
        <w:pStyle w:val="NormalWeb"/>
        <w:spacing w:line="360" w:lineRule="auto"/>
        <w:ind w:right="44"/>
        <w:jc w:val="both"/>
        <w:rPr>
          <w:rFonts w:ascii="Arial" w:hAnsi="Arial" w:cs="Arial"/>
          <w:b/>
          <w:sz w:val="22"/>
          <w:szCs w:val="22"/>
        </w:rPr>
      </w:pPr>
    </w:p>
    <w:p w:rsidR="00197AA0" w:rsidRPr="005F780E" w:rsidRDefault="00197AA0" w:rsidP="00232C32">
      <w:pPr>
        <w:pStyle w:val="NormalWeb"/>
        <w:spacing w:line="360" w:lineRule="auto"/>
        <w:ind w:right="44"/>
        <w:jc w:val="both"/>
        <w:rPr>
          <w:rFonts w:ascii="Arial" w:hAnsi="Arial" w:cs="Arial"/>
          <w:b/>
          <w:sz w:val="22"/>
          <w:szCs w:val="22"/>
        </w:rPr>
      </w:pPr>
    </w:p>
    <w:p w:rsidR="00197AA0" w:rsidRPr="005F780E" w:rsidRDefault="00197AA0" w:rsidP="00232C32">
      <w:pPr>
        <w:pStyle w:val="NormalWeb"/>
        <w:spacing w:line="360" w:lineRule="auto"/>
        <w:ind w:right="44"/>
        <w:jc w:val="both"/>
        <w:rPr>
          <w:rFonts w:ascii="Arial" w:hAnsi="Arial" w:cs="Arial"/>
          <w:b/>
          <w:sz w:val="22"/>
          <w:szCs w:val="22"/>
        </w:rPr>
      </w:pPr>
    </w:p>
    <w:p w:rsidR="00197AA0" w:rsidRDefault="00197AA0" w:rsidP="00232C32">
      <w:pPr>
        <w:pStyle w:val="NormalWeb"/>
        <w:spacing w:line="360" w:lineRule="auto"/>
        <w:ind w:right="44"/>
        <w:jc w:val="both"/>
        <w:rPr>
          <w:rFonts w:ascii="Arial" w:hAnsi="Arial" w:cs="Arial"/>
          <w:b/>
          <w:sz w:val="22"/>
          <w:szCs w:val="22"/>
        </w:rPr>
      </w:pPr>
    </w:p>
    <w:p w:rsidR="00197AA0" w:rsidRDefault="00197AA0" w:rsidP="00232C32">
      <w:pPr>
        <w:pStyle w:val="NormalWeb"/>
        <w:spacing w:line="360" w:lineRule="auto"/>
        <w:ind w:right="44"/>
        <w:jc w:val="both"/>
        <w:rPr>
          <w:rFonts w:ascii="Arial" w:hAnsi="Arial" w:cs="Arial"/>
          <w:b/>
          <w:sz w:val="22"/>
          <w:szCs w:val="22"/>
        </w:rPr>
      </w:pPr>
    </w:p>
    <w:p w:rsidR="00197AA0" w:rsidRDefault="00197AA0" w:rsidP="00232C32">
      <w:pPr>
        <w:pStyle w:val="NormalWeb"/>
        <w:spacing w:line="360" w:lineRule="auto"/>
        <w:ind w:right="44"/>
        <w:jc w:val="both"/>
        <w:rPr>
          <w:rFonts w:ascii="Arial" w:hAnsi="Arial" w:cs="Arial"/>
          <w:b/>
          <w:sz w:val="22"/>
          <w:szCs w:val="22"/>
        </w:rPr>
      </w:pPr>
    </w:p>
    <w:p w:rsidR="00197AA0" w:rsidRDefault="00197AA0" w:rsidP="00232C32">
      <w:pPr>
        <w:pStyle w:val="NormalWeb"/>
        <w:spacing w:line="360" w:lineRule="auto"/>
        <w:ind w:right="44"/>
        <w:jc w:val="both"/>
        <w:rPr>
          <w:rFonts w:ascii="Arial" w:hAnsi="Arial" w:cs="Arial"/>
          <w:b/>
          <w:sz w:val="22"/>
          <w:szCs w:val="22"/>
        </w:rPr>
      </w:pPr>
    </w:p>
    <w:p w:rsidR="00197AA0" w:rsidRDefault="00197AA0" w:rsidP="00232C32">
      <w:pPr>
        <w:pStyle w:val="NormalWeb"/>
        <w:spacing w:line="360" w:lineRule="auto"/>
        <w:ind w:right="44"/>
        <w:jc w:val="both"/>
        <w:rPr>
          <w:rFonts w:ascii="Arial" w:hAnsi="Arial" w:cs="Arial"/>
          <w:b/>
          <w:sz w:val="22"/>
          <w:szCs w:val="22"/>
        </w:rPr>
      </w:pPr>
    </w:p>
    <w:p w:rsidR="00197AA0" w:rsidRDefault="00197AA0" w:rsidP="00232C32">
      <w:pPr>
        <w:pStyle w:val="NormalWeb"/>
        <w:spacing w:line="360" w:lineRule="auto"/>
        <w:ind w:right="44"/>
        <w:jc w:val="both"/>
        <w:rPr>
          <w:rFonts w:ascii="Arial" w:hAnsi="Arial" w:cs="Arial"/>
          <w:b/>
          <w:sz w:val="22"/>
          <w:szCs w:val="22"/>
        </w:rPr>
      </w:pPr>
    </w:p>
    <w:p w:rsidR="00197AA0" w:rsidRDefault="00197AA0" w:rsidP="00232C32">
      <w:pPr>
        <w:pStyle w:val="NormalWeb"/>
        <w:spacing w:line="360" w:lineRule="auto"/>
        <w:ind w:right="44"/>
        <w:jc w:val="both"/>
        <w:rPr>
          <w:rFonts w:ascii="Arial" w:hAnsi="Arial" w:cs="Arial"/>
          <w:b/>
          <w:sz w:val="22"/>
          <w:szCs w:val="22"/>
        </w:rPr>
      </w:pPr>
    </w:p>
    <w:p w:rsidR="00197AA0" w:rsidRDefault="00197AA0" w:rsidP="00232C32">
      <w:pPr>
        <w:pStyle w:val="NormalWeb"/>
        <w:spacing w:line="360" w:lineRule="auto"/>
        <w:ind w:right="44"/>
        <w:jc w:val="both"/>
        <w:rPr>
          <w:rFonts w:ascii="Arial" w:hAnsi="Arial" w:cs="Arial"/>
          <w:b/>
          <w:sz w:val="22"/>
          <w:szCs w:val="22"/>
        </w:rPr>
      </w:pPr>
    </w:p>
    <w:p w:rsidR="00197AA0" w:rsidRDefault="001D7573" w:rsidP="00232C32">
      <w:pPr>
        <w:pStyle w:val="NormalWeb"/>
        <w:spacing w:line="360" w:lineRule="auto"/>
        <w:ind w:right="44"/>
        <w:jc w:val="both"/>
        <w:rPr>
          <w:rFonts w:ascii="Arial" w:hAnsi="Arial" w:cs="Arial"/>
          <w:b/>
          <w:sz w:val="22"/>
          <w:szCs w:val="22"/>
        </w:rPr>
      </w:pPr>
      <w:r w:rsidRPr="001D7573">
        <w:rPr>
          <w:rFonts w:ascii="Arial" w:hAnsi="Arial" w:cs="Arial"/>
          <w:noProof/>
          <w:color w:val="000000"/>
          <w:sz w:val="22"/>
          <w:szCs w:val="22"/>
        </w:rPr>
        <w:pict>
          <v:shape id="_x0000_s1183" type="#_x0000_t202" style="position:absolute;left:0;text-align:left;margin-left:216.2pt;margin-top:15.75pt;width:45pt;height:21pt;z-index:251812864;mso-height-percent:200;mso-height-percent:200;mso-width-relative:margin;mso-height-relative:margin" fillcolor="white [3212]" stroked="f">
            <v:textbox style="mso-next-textbox:#_x0000_s1183;mso-fit-shape-to-text:t">
              <w:txbxContent>
                <w:p w:rsidR="00AC7D7B" w:rsidRDefault="00AC7D7B" w:rsidP="007467DF">
                  <w:r>
                    <w:t>137</w:t>
                  </w:r>
                </w:p>
              </w:txbxContent>
            </v:textbox>
          </v:shape>
        </w:pict>
      </w:r>
    </w:p>
    <w:p w:rsidR="00197AA0" w:rsidRPr="005F780E" w:rsidRDefault="00197AA0" w:rsidP="00232C32">
      <w:pPr>
        <w:spacing w:line="360" w:lineRule="auto"/>
        <w:ind w:right="44"/>
        <w:jc w:val="both"/>
        <w:rPr>
          <w:rFonts w:ascii="Arial" w:hAnsi="Arial" w:cs="Arial"/>
          <w:b/>
          <w:sz w:val="22"/>
          <w:szCs w:val="22"/>
        </w:rPr>
      </w:pPr>
      <w:r w:rsidRPr="005F780E">
        <w:rPr>
          <w:rFonts w:ascii="Arial" w:hAnsi="Arial" w:cs="Arial"/>
          <w:b/>
          <w:sz w:val="22"/>
          <w:szCs w:val="22"/>
        </w:rPr>
        <w:t>CONCLUSIONES Y RECOMENDACIONES FINALES</w:t>
      </w:r>
    </w:p>
    <w:p w:rsidR="00197AA0" w:rsidRPr="005F780E" w:rsidRDefault="00197AA0" w:rsidP="00232C32">
      <w:pPr>
        <w:spacing w:line="360" w:lineRule="auto"/>
        <w:ind w:right="44"/>
        <w:jc w:val="both"/>
        <w:rPr>
          <w:rFonts w:ascii="Arial" w:hAnsi="Arial" w:cs="Arial"/>
          <w:sz w:val="22"/>
          <w:szCs w:val="22"/>
        </w:rPr>
      </w:pPr>
    </w:p>
    <w:p w:rsidR="00197AA0" w:rsidRPr="005F780E" w:rsidRDefault="00197AA0" w:rsidP="00232C32">
      <w:pPr>
        <w:spacing w:line="360" w:lineRule="auto"/>
        <w:ind w:right="44"/>
        <w:jc w:val="both"/>
        <w:rPr>
          <w:rFonts w:ascii="Arial" w:hAnsi="Arial" w:cs="Arial"/>
          <w:b/>
          <w:sz w:val="22"/>
          <w:szCs w:val="22"/>
        </w:rPr>
      </w:pPr>
      <w:r w:rsidRPr="005F780E">
        <w:rPr>
          <w:rFonts w:ascii="Arial" w:hAnsi="Arial" w:cs="Arial"/>
          <w:b/>
          <w:sz w:val="22"/>
          <w:szCs w:val="22"/>
        </w:rPr>
        <w:t>Conclusiones</w:t>
      </w:r>
    </w:p>
    <w:p w:rsidR="00197AA0" w:rsidRPr="005F780E" w:rsidRDefault="00197AA0" w:rsidP="00232C32">
      <w:pPr>
        <w:spacing w:line="360" w:lineRule="auto"/>
        <w:ind w:right="44"/>
        <w:jc w:val="both"/>
        <w:rPr>
          <w:rFonts w:ascii="Arial" w:hAnsi="Arial" w:cs="Arial"/>
          <w:sz w:val="22"/>
          <w:szCs w:val="22"/>
        </w:rPr>
      </w:pPr>
    </w:p>
    <w:p w:rsidR="00197AA0" w:rsidRPr="005F780E" w:rsidRDefault="00197AA0" w:rsidP="00232C32">
      <w:pPr>
        <w:pStyle w:val="Prrafodelista1"/>
        <w:numPr>
          <w:ilvl w:val="0"/>
          <w:numId w:val="26"/>
        </w:numPr>
        <w:spacing w:line="360" w:lineRule="auto"/>
        <w:ind w:right="44"/>
        <w:jc w:val="both"/>
        <w:rPr>
          <w:rFonts w:ascii="Arial" w:hAnsi="Arial" w:cs="Arial"/>
        </w:rPr>
      </w:pPr>
      <w:r w:rsidRPr="005F780E">
        <w:rPr>
          <w:rFonts w:ascii="Arial" w:hAnsi="Arial" w:cs="Arial"/>
        </w:rPr>
        <w:t>Se concluye que ante todos los desastres marítimos que se han suscitado a lo largo del tiempo, se ha generado un mayor interés por parte de la comunidad internacional para intentar paliar nuevos desastres de contaminación por hidrocarburo en el futuro, en el cual se logre reducir en gran medida las características similares que presentaron los accidentes descritos, tales como evitar el uso de las banderas de conveniencia, los cascos sencillos o monocascos, buques en malas condiciones, y aquellas empresas de clasificación encargadas de inspeccionar los buques ya que muchas de ellas no realizan las correspondientes inspecciones que deberían de realizarse por ciertas preferencias que se  tienen con los dueños de los buques, cuestión que se puede constatar en los accidentes más emblemáticos de la historia como el caso del buque Torrey Canyon, Exxon Valdez, Erika, Prestige. Sin embargo hay que resaltar que si bien es cierto se ha impulsado un interés por parte de la comunidad internacional en evitar nuevos desastres y al mismo tiempo la creación de una amplia gama de mecanismos para reducir los accidentes por hidrocarburos, se denota una gran fragilidad que aún existe en el derecho marítimo ya que continuamente en la actualidad surgen nuevas catástrofes como es el caso del buque Shen Neng 1, caso en el cual se puede denotar la carencia de mecanismos o normas más eficaces u obligatorias.</w:t>
      </w:r>
    </w:p>
    <w:p w:rsidR="00197AA0" w:rsidRPr="005F780E" w:rsidRDefault="001D7573" w:rsidP="00232C32">
      <w:pPr>
        <w:numPr>
          <w:ilvl w:val="0"/>
          <w:numId w:val="26"/>
        </w:numPr>
        <w:spacing w:after="200" w:line="360" w:lineRule="auto"/>
        <w:ind w:right="44"/>
        <w:contextualSpacing/>
        <w:jc w:val="both"/>
        <w:rPr>
          <w:rFonts w:ascii="Arial" w:hAnsi="Arial" w:cs="Arial"/>
          <w:sz w:val="22"/>
          <w:szCs w:val="22"/>
        </w:rPr>
      </w:pPr>
      <w:r>
        <w:rPr>
          <w:rFonts w:ascii="Arial" w:hAnsi="Arial" w:cs="Arial"/>
          <w:noProof/>
          <w:sz w:val="22"/>
          <w:szCs w:val="22"/>
        </w:rPr>
        <w:lastRenderedPageBreak/>
        <w:pict>
          <v:shape id="_x0000_s1186" type="#_x0000_t202" style="position:absolute;left:0;text-align:left;margin-left:192.95pt;margin-top:240.35pt;width:48.4pt;height:21pt;z-index:251815936;mso-height-percent:200;mso-height-percent:200;mso-width-relative:margin;mso-height-relative:margin" fillcolor="white [3212]" stroked="f">
            <v:textbox style="mso-next-textbox:#_x0000_s1186;mso-fit-shape-to-text:t">
              <w:txbxContent>
                <w:p w:rsidR="00AC7D7B" w:rsidRDefault="00AC7D7B" w:rsidP="007467DF">
                  <w:r>
                    <w:t>138</w:t>
                  </w:r>
                </w:p>
              </w:txbxContent>
            </v:textbox>
          </v:shape>
        </w:pict>
      </w:r>
      <w:r w:rsidR="00197AA0" w:rsidRPr="005F780E">
        <w:rPr>
          <w:rFonts w:ascii="Arial" w:hAnsi="Arial" w:cs="Arial"/>
          <w:sz w:val="22"/>
          <w:szCs w:val="22"/>
        </w:rPr>
        <w:t xml:space="preserve">Por otro lado se ha llegado a la conclusión de que la disposición del doble casco en los buques no resulte la solución perfecta para prevenir todos los accidentes marítimos, pero si supone una protección en caso de colisiones o varadas de menor intensidad. Además esta medida se ha propuesto en innumerables normas legales, puesto que en la práctica no se ha aplicado con obligatoriedad, ante esto se espera que a partir del año 2010 se vete y se imponga obligatoriamente el uso de doble casco a los petroleros de casco sencillo, cuestión que se prolongará en el 2015, donde se revelará  la evolución en la regulación marítima con la imposición de esta medida, ya que en años anteriores no se había tomado en cuenta con el nivel de obligatoriedad con el que se está tomando en la actualidad, esto para así reducir verdaderamente los miles de casos de derrame por hidrocarburos.  </w:t>
      </w:r>
    </w:p>
    <w:p w:rsidR="00197AA0" w:rsidRPr="005F780E" w:rsidRDefault="00197AA0" w:rsidP="00232C32">
      <w:pPr>
        <w:numPr>
          <w:ilvl w:val="0"/>
          <w:numId w:val="26"/>
        </w:numPr>
        <w:spacing w:after="200" w:line="360" w:lineRule="auto"/>
        <w:ind w:right="44"/>
        <w:contextualSpacing/>
        <w:jc w:val="both"/>
        <w:rPr>
          <w:rFonts w:ascii="Arial" w:hAnsi="Arial" w:cs="Arial"/>
          <w:sz w:val="22"/>
          <w:szCs w:val="22"/>
        </w:rPr>
      </w:pPr>
      <w:r w:rsidRPr="005F780E">
        <w:rPr>
          <w:rFonts w:ascii="Arial" w:hAnsi="Arial" w:cs="Arial"/>
          <w:sz w:val="22"/>
          <w:szCs w:val="22"/>
        </w:rPr>
        <w:t>Otro punto fundamental a tomar en consideración es que para promover un desarrollo portuario en El Salvador, no solo basta contar con buena infraestructura y maquinaria adecuada; ya que si bien es cierto, es importante tomar en cuenta estos factores, no es lo suficiente para tener como base un buen desarrollo portuario, sin embargo existen otros factores de relevancia para llevarlo e impulsarlo, como el fortalecimiento de un marco institucional para elaborar propuestas que conlleven a la instauración de un sistema eficiente,  efectivo y ágil, capaz de producir personal capacitado en la materia como por ejemplo marinos y profesionales marítimos de excelente calidad, asegurando así su colocación en las diferentes compañías navieras, y en las diversas ramas marítimas portuarias.</w:t>
      </w:r>
    </w:p>
    <w:p w:rsidR="00197AA0" w:rsidRPr="005F780E" w:rsidRDefault="00197AA0" w:rsidP="00232C32">
      <w:pPr>
        <w:spacing w:before="100" w:beforeAutospacing="1" w:after="100" w:afterAutospacing="1" w:line="360" w:lineRule="auto"/>
        <w:ind w:right="44"/>
        <w:contextualSpacing/>
        <w:jc w:val="both"/>
        <w:rPr>
          <w:rFonts w:ascii="Arial" w:hAnsi="Arial" w:cs="Arial"/>
          <w:sz w:val="22"/>
          <w:szCs w:val="22"/>
        </w:rPr>
      </w:pPr>
    </w:p>
    <w:p w:rsidR="00197AA0" w:rsidRPr="005F780E" w:rsidRDefault="00197AA0" w:rsidP="00232C32">
      <w:pPr>
        <w:numPr>
          <w:ilvl w:val="0"/>
          <w:numId w:val="26"/>
        </w:numPr>
        <w:spacing w:after="200" w:line="360" w:lineRule="auto"/>
        <w:ind w:right="44"/>
        <w:contextualSpacing/>
        <w:jc w:val="both"/>
        <w:rPr>
          <w:rFonts w:ascii="Arial" w:hAnsi="Arial" w:cs="Arial"/>
          <w:b/>
          <w:sz w:val="22"/>
          <w:szCs w:val="22"/>
        </w:rPr>
      </w:pPr>
      <w:r w:rsidRPr="005F780E">
        <w:rPr>
          <w:rFonts w:ascii="Arial" w:hAnsi="Arial" w:cs="Arial"/>
          <w:sz w:val="22"/>
          <w:szCs w:val="22"/>
        </w:rPr>
        <w:t xml:space="preserve">Así mismo resulta trascendental que las instituciones competentes en materia marítima portuaria del Gobierno Central, como lo son AMP y CEPA, deben lograr gestar herramientas necesarias para crear condiciones óptimas para el desarrollo portuario, ya que el rol de estas instituciones, debe de caracterizarse por mantener una buena coordinación entre ellas mismas, de lo contrario, la inversión que se ha efectuado no irá en concordancia con las visiones positivas que dichas instancias han expresado. Al mismo tiempo, se puede concluir luego de haber realizado una serie de entrevistas a ejecutivos de las instituciones AMP y CEPA, que existe una carencia de conocimientos en materia de derecho marítimo y por lo tanto se denota la incompetencia y la falta de capacidad en varios aspectos como el manejo de los principales tratados y convenios internacionales, que deberían de ser de conocimiento básico de las autoridades competentes en esta materia. </w:t>
      </w:r>
    </w:p>
    <w:p w:rsidR="00197AA0" w:rsidRPr="005F780E" w:rsidRDefault="00197AA0" w:rsidP="00232C32">
      <w:pPr>
        <w:spacing w:before="100" w:beforeAutospacing="1" w:after="100" w:afterAutospacing="1" w:line="360" w:lineRule="auto"/>
        <w:ind w:right="44"/>
        <w:contextualSpacing/>
        <w:jc w:val="both"/>
        <w:rPr>
          <w:rFonts w:ascii="Arial" w:hAnsi="Arial" w:cs="Arial"/>
          <w:sz w:val="22"/>
          <w:szCs w:val="22"/>
        </w:rPr>
      </w:pPr>
    </w:p>
    <w:p w:rsidR="00197AA0" w:rsidRPr="005F780E" w:rsidRDefault="001D7573" w:rsidP="00232C32">
      <w:pPr>
        <w:numPr>
          <w:ilvl w:val="0"/>
          <w:numId w:val="26"/>
        </w:numPr>
        <w:spacing w:after="200" w:line="360" w:lineRule="auto"/>
        <w:ind w:right="44"/>
        <w:contextualSpacing/>
        <w:jc w:val="both"/>
        <w:rPr>
          <w:rFonts w:ascii="Arial" w:hAnsi="Arial" w:cs="Arial"/>
          <w:b/>
          <w:sz w:val="22"/>
          <w:szCs w:val="22"/>
        </w:rPr>
      </w:pPr>
      <w:r w:rsidRPr="001D7573">
        <w:rPr>
          <w:rFonts w:ascii="Arial" w:hAnsi="Arial" w:cs="Arial"/>
          <w:noProof/>
          <w:sz w:val="22"/>
          <w:szCs w:val="22"/>
        </w:rPr>
        <w:pict>
          <v:shape id="_x0000_s1185" type="#_x0000_t202" style="position:absolute;left:0;text-align:left;margin-left:205.7pt;margin-top:214.75pt;width:45pt;height:21pt;z-index:251814912;mso-height-percent:200;mso-height-percent:200;mso-width-relative:margin;mso-height-relative:margin" fillcolor="white [3212]" stroked="f">
            <v:textbox style="mso-next-textbox:#_x0000_s1185;mso-fit-shape-to-text:t">
              <w:txbxContent>
                <w:p w:rsidR="00AC7D7B" w:rsidRDefault="00AC7D7B" w:rsidP="007467DF">
                  <w:r>
                    <w:t>139</w:t>
                  </w:r>
                </w:p>
              </w:txbxContent>
            </v:textbox>
          </v:shape>
        </w:pict>
      </w:r>
      <w:r w:rsidR="00197AA0" w:rsidRPr="005F780E">
        <w:rPr>
          <w:rFonts w:ascii="Arial" w:hAnsi="Arial" w:cs="Arial"/>
          <w:sz w:val="22"/>
          <w:szCs w:val="22"/>
        </w:rPr>
        <w:t xml:space="preserve">Se llego a la conclusión de que las perspectivas de contaminación por hidrocarburo en el Puerto de La Unión </w:t>
      </w:r>
      <w:r w:rsidR="00197AA0" w:rsidRPr="005F780E">
        <w:rPr>
          <w:rFonts w:ascii="Arial" w:hAnsi="Arial" w:cs="Arial"/>
          <w:color w:val="000000"/>
          <w:sz w:val="22"/>
          <w:szCs w:val="22"/>
        </w:rPr>
        <w:t>son grandes, a pesar que en la actualidad el flujo de buques no es tan frecuente, si se puede plantear que hay grandes probabilidades de contaminación por el simple hecho de la actividad cotidiana de los buques de gran calado que transitarán en el Golfo de Fonseca, y más aún cuando se finalice la terminal de hidrocarburos que está todavía en planes de construcción, todo esto debería de tomarse más en consideración por parte de las autoridades competentes en materia portuaria,</w:t>
      </w:r>
      <w:r w:rsidR="00197AA0" w:rsidRPr="005F780E">
        <w:rPr>
          <w:rFonts w:ascii="Arial" w:hAnsi="Arial" w:cs="Arial"/>
          <w:sz w:val="22"/>
          <w:szCs w:val="22"/>
        </w:rPr>
        <w:t xml:space="preserve"> para poder contar con la infraestructura y mecanismos adecuados de prevención para responder ante algún accidente por hidrocarburo, </w:t>
      </w:r>
      <w:r w:rsidR="00197AA0" w:rsidRPr="005F780E">
        <w:rPr>
          <w:rFonts w:ascii="Arial" w:hAnsi="Arial" w:cs="Arial"/>
          <w:color w:val="000000"/>
          <w:sz w:val="22"/>
          <w:szCs w:val="22"/>
        </w:rPr>
        <w:t xml:space="preserve">esto si en realidad se busca que el Puerto de La Unión se ofrezca y se venda como un centro de logística a nivel regional, tal como se ha venido publicando en los medios de comunicación. </w:t>
      </w:r>
    </w:p>
    <w:p w:rsidR="00197AA0" w:rsidRPr="005F780E" w:rsidRDefault="00197AA0" w:rsidP="00232C32">
      <w:pPr>
        <w:spacing w:line="360" w:lineRule="auto"/>
        <w:ind w:left="360" w:right="44"/>
        <w:contextualSpacing/>
        <w:jc w:val="both"/>
        <w:rPr>
          <w:rFonts w:ascii="Arial" w:hAnsi="Arial" w:cs="Arial"/>
          <w:sz w:val="22"/>
          <w:szCs w:val="22"/>
        </w:rPr>
      </w:pPr>
    </w:p>
    <w:p w:rsidR="00197AA0" w:rsidRPr="005F780E" w:rsidRDefault="00197AA0" w:rsidP="00232C32">
      <w:pPr>
        <w:numPr>
          <w:ilvl w:val="0"/>
          <w:numId w:val="26"/>
        </w:numPr>
        <w:spacing w:after="200" w:line="360" w:lineRule="auto"/>
        <w:ind w:right="44"/>
        <w:contextualSpacing/>
        <w:jc w:val="both"/>
        <w:rPr>
          <w:rFonts w:ascii="Arial" w:hAnsi="Arial" w:cs="Arial"/>
          <w:sz w:val="22"/>
          <w:szCs w:val="22"/>
        </w:rPr>
      </w:pPr>
      <w:r w:rsidRPr="005F780E">
        <w:rPr>
          <w:rFonts w:ascii="Arial" w:hAnsi="Arial" w:cs="Arial"/>
          <w:sz w:val="22"/>
          <w:szCs w:val="22"/>
        </w:rPr>
        <w:t>También se concluye que el Puerto de La Unión no cuenta con el personal capacitado y especializado en materia de contaminación por hidrocarburos, ya que se pudo comprobar que dicha terminal marítima sólo cuenta con un encargado en medio ambiente  pero  en materia general, que no cuenta con los estudios y los respectivos conocimientos de cómo contrarrestar y hacer frente a una contaminación por vertidos y derrames de hidrocarburos; al mismo tiempo la gran mayoría del personal que labora en el Puerto de La Unión ha sido contratado del instituto Megatec, institución que aún no cuenta con los cursos especializados y certificados por la OMI, lo cual se pudo constatar luego de haber observado el pensum de la carrera de Administración y Operación Portuaria y además confirmado por lo manifestado por el Dir. de la AMP, Freddy Villalta, cuestión que viene a demostrar y hacer ver la poca capacidad y experiencia de dicho personal, tanto para promover un buen desarrollo portuario así como también para reducir y evitar posibles accidentes de contaminación por hidrocarburos en la zona.</w:t>
      </w:r>
    </w:p>
    <w:p w:rsidR="00197AA0" w:rsidRPr="005F780E" w:rsidRDefault="00197AA0" w:rsidP="00232C32">
      <w:pPr>
        <w:spacing w:before="100" w:beforeAutospacing="1" w:after="100" w:afterAutospacing="1" w:line="360" w:lineRule="auto"/>
        <w:ind w:right="44"/>
        <w:contextualSpacing/>
        <w:jc w:val="both"/>
        <w:rPr>
          <w:rFonts w:ascii="Arial" w:hAnsi="Arial" w:cs="Arial"/>
          <w:sz w:val="22"/>
          <w:szCs w:val="22"/>
        </w:rPr>
      </w:pPr>
    </w:p>
    <w:p w:rsidR="00197AA0" w:rsidRPr="005F780E" w:rsidRDefault="00197AA0" w:rsidP="00232C32">
      <w:pPr>
        <w:spacing w:before="100" w:beforeAutospacing="1" w:after="100" w:afterAutospacing="1" w:line="360" w:lineRule="auto"/>
        <w:ind w:right="44"/>
        <w:contextualSpacing/>
        <w:jc w:val="both"/>
        <w:rPr>
          <w:rFonts w:ascii="Arial" w:hAnsi="Arial" w:cs="Arial"/>
          <w:sz w:val="22"/>
          <w:szCs w:val="22"/>
        </w:rPr>
      </w:pPr>
    </w:p>
    <w:p w:rsidR="00197AA0" w:rsidRPr="005F780E" w:rsidRDefault="00197AA0" w:rsidP="00232C32">
      <w:pPr>
        <w:spacing w:line="360" w:lineRule="auto"/>
        <w:ind w:right="44"/>
        <w:jc w:val="both"/>
        <w:rPr>
          <w:rFonts w:ascii="Arial" w:hAnsi="Arial" w:cs="Arial"/>
          <w:b/>
          <w:sz w:val="22"/>
          <w:szCs w:val="22"/>
          <w:lang w:eastAsia="en-US"/>
        </w:rPr>
      </w:pPr>
      <w:r w:rsidRPr="005F780E">
        <w:rPr>
          <w:rFonts w:ascii="Arial" w:hAnsi="Arial" w:cs="Arial"/>
          <w:b/>
          <w:sz w:val="22"/>
          <w:szCs w:val="22"/>
        </w:rPr>
        <w:t>Recomendaciones</w:t>
      </w:r>
    </w:p>
    <w:p w:rsidR="00197AA0" w:rsidRPr="005F780E" w:rsidRDefault="00197AA0" w:rsidP="00232C32">
      <w:pPr>
        <w:pStyle w:val="Prrafodelista1"/>
        <w:spacing w:line="360" w:lineRule="auto"/>
        <w:ind w:left="360" w:right="44"/>
        <w:jc w:val="both"/>
        <w:rPr>
          <w:rFonts w:ascii="Arial" w:hAnsi="Arial" w:cs="Arial"/>
          <w:color w:val="000000"/>
        </w:rPr>
      </w:pPr>
    </w:p>
    <w:p w:rsidR="00197AA0" w:rsidRPr="005F780E" w:rsidRDefault="001D7573" w:rsidP="00232C32">
      <w:pPr>
        <w:numPr>
          <w:ilvl w:val="0"/>
          <w:numId w:val="27"/>
        </w:numPr>
        <w:spacing w:after="200" w:line="360" w:lineRule="auto"/>
        <w:ind w:right="44"/>
        <w:contextualSpacing/>
        <w:jc w:val="both"/>
        <w:rPr>
          <w:rFonts w:ascii="Arial" w:hAnsi="Arial" w:cs="Arial"/>
          <w:color w:val="000000"/>
          <w:sz w:val="22"/>
          <w:szCs w:val="22"/>
        </w:rPr>
      </w:pPr>
      <w:r>
        <w:rPr>
          <w:rFonts w:ascii="Arial" w:hAnsi="Arial" w:cs="Arial"/>
          <w:noProof/>
          <w:color w:val="000000"/>
          <w:sz w:val="22"/>
          <w:szCs w:val="22"/>
        </w:rPr>
        <w:pict>
          <v:shape id="_x0000_s1188" type="#_x0000_t202" style="position:absolute;left:0;text-align:left;margin-left:191.65pt;margin-top:271.6pt;width:48.4pt;height:21pt;z-index:251817984;mso-height-percent:200;mso-height-percent:200;mso-width-relative:margin;mso-height-relative:margin" fillcolor="white [3212]" stroked="f">
            <v:textbox style="mso-next-textbox:#_x0000_s1188;mso-fit-shape-to-text:t">
              <w:txbxContent>
                <w:p w:rsidR="00AC7D7B" w:rsidRDefault="00AC7D7B" w:rsidP="007467DF">
                  <w:r>
                    <w:t>140</w:t>
                  </w:r>
                </w:p>
              </w:txbxContent>
            </v:textbox>
          </v:shape>
        </w:pict>
      </w:r>
      <w:r w:rsidR="00197AA0" w:rsidRPr="005F780E">
        <w:rPr>
          <w:rFonts w:ascii="Arial" w:hAnsi="Arial" w:cs="Arial"/>
          <w:color w:val="000000"/>
          <w:sz w:val="22"/>
          <w:szCs w:val="22"/>
        </w:rPr>
        <w:t xml:space="preserve">Se recomienda que en la práctica se tome con mucha más obligatoriedad el uso del doble casco para reducir colisiones o varadas de menor intensidad, aunque esto no </w:t>
      </w:r>
      <w:r w:rsidR="00197AA0" w:rsidRPr="005F780E">
        <w:rPr>
          <w:rFonts w:ascii="Arial" w:hAnsi="Arial" w:cs="Arial"/>
          <w:color w:val="000000"/>
          <w:sz w:val="22"/>
          <w:szCs w:val="22"/>
        </w:rPr>
        <w:lastRenderedPageBreak/>
        <w:t>suponga la solución perfecta para prevenir todos los accidentes marítimos, si supondría una reducción en posibles accidentes de hidrocarburos, al mismo tiempo las empresas de clasificación deberían de estar sujetas a un mayor control para que estas ejerzan un mejor desempeño sin ningún interés particular que detenga su pleno funcionamiento; además es importante que la OMI juegue un papel más activo y transparente al margen de cualquier interés de empresas transnacionales, a la hora de hacer aplicar de manera más efectiva los convenios y tratados internacionales, por parte de los países adscritos a estos. Con el cumplimiento de estos factores anteriormente mencionados, se pretende que se dé una verdadera evolución en la regulación marítima internacional lo cual al final vendría a representar menores posibilidades de accidentes de contaminación por hidrocarburos.</w:t>
      </w:r>
    </w:p>
    <w:p w:rsidR="00197AA0" w:rsidRPr="005F780E" w:rsidRDefault="00197AA0" w:rsidP="00232C32">
      <w:pPr>
        <w:spacing w:before="100" w:beforeAutospacing="1" w:after="100" w:afterAutospacing="1" w:line="360" w:lineRule="auto"/>
        <w:ind w:right="44"/>
        <w:contextualSpacing/>
        <w:jc w:val="both"/>
        <w:rPr>
          <w:rFonts w:ascii="Arial" w:hAnsi="Arial" w:cs="Arial"/>
          <w:color w:val="000000"/>
          <w:sz w:val="22"/>
          <w:szCs w:val="22"/>
        </w:rPr>
      </w:pPr>
    </w:p>
    <w:p w:rsidR="00197AA0" w:rsidRPr="005F780E" w:rsidRDefault="00197AA0" w:rsidP="00232C32">
      <w:pPr>
        <w:numPr>
          <w:ilvl w:val="0"/>
          <w:numId w:val="27"/>
        </w:numPr>
        <w:spacing w:after="200" w:line="360" w:lineRule="auto"/>
        <w:ind w:right="44"/>
        <w:contextualSpacing/>
        <w:jc w:val="both"/>
        <w:rPr>
          <w:rFonts w:ascii="Arial" w:hAnsi="Arial" w:cs="Arial"/>
          <w:sz w:val="22"/>
          <w:szCs w:val="22"/>
        </w:rPr>
      </w:pPr>
      <w:r w:rsidRPr="005F780E">
        <w:rPr>
          <w:rFonts w:ascii="Arial" w:hAnsi="Arial" w:cs="Arial"/>
          <w:sz w:val="22"/>
          <w:szCs w:val="22"/>
        </w:rPr>
        <w:t xml:space="preserve">Ahora bien, centrándose un poco más a la realidad nacional de El Salvador, se considera pertinente la adhesión a los Convenios MARPOL, SOLAS, FONDO, STCW;  con respecto al primero darle mayor prioridad a la ratificación del anexo I del MARPOL, que es el que habla exclusivamente de la contaminación por hidrocarburos, el STCW resulta también de gran importancia porque regularía todo lo relacionado a lo de la gente de mar, lo cual llevaría a la posibilidad de certificar escuelas de marinos mercantes y de esta  manera estos pudieran trabajar en la industria de esta misma rama. Al mismo tiempo otro de los convenios de mucha importancia que se recomienda adherirse es el convenio FONDO ya que se contaría con la posibilidad de recibir una indemnización en caso de que suceda un accidente de derrame por hidrocarburo. De esta manera, con la adhesión de estos convenios se establecería todo un marco mucho más rígido y fortalecido en materia de  seguridad marítima portuaria. </w:t>
      </w:r>
    </w:p>
    <w:p w:rsidR="00197AA0" w:rsidRPr="005F780E" w:rsidRDefault="00197AA0" w:rsidP="00232C32">
      <w:pPr>
        <w:spacing w:line="360" w:lineRule="auto"/>
        <w:ind w:left="360" w:right="44"/>
        <w:contextualSpacing/>
        <w:jc w:val="both"/>
        <w:rPr>
          <w:rFonts w:ascii="Arial" w:hAnsi="Arial" w:cs="Arial"/>
          <w:sz w:val="22"/>
          <w:szCs w:val="22"/>
        </w:rPr>
      </w:pPr>
    </w:p>
    <w:p w:rsidR="00197AA0" w:rsidRPr="005F780E" w:rsidRDefault="00197AA0" w:rsidP="00232C32">
      <w:pPr>
        <w:numPr>
          <w:ilvl w:val="0"/>
          <w:numId w:val="27"/>
        </w:numPr>
        <w:spacing w:after="200" w:line="360" w:lineRule="auto"/>
        <w:ind w:right="44"/>
        <w:contextualSpacing/>
        <w:jc w:val="both"/>
        <w:rPr>
          <w:rFonts w:ascii="Arial" w:hAnsi="Arial" w:cs="Arial"/>
          <w:sz w:val="22"/>
          <w:szCs w:val="22"/>
        </w:rPr>
      </w:pPr>
      <w:r w:rsidRPr="005F780E">
        <w:rPr>
          <w:rFonts w:ascii="Arial" w:hAnsi="Arial" w:cs="Arial"/>
          <w:sz w:val="22"/>
          <w:szCs w:val="22"/>
        </w:rPr>
        <w:t>Otra de las recomendaciones que resulta fundamental hacer, es que El Salvador logre mejorar en los aspectos de hidrografía y cartografía, para que de esta manera se puedan elaborar por meritos propios, las cartas náuticas y de esta manera eliminar un poco la dependencia de la Agencia Nacional de Imágenes y Cartografía (NIMA) de los Estados Unidos.</w:t>
      </w:r>
    </w:p>
    <w:p w:rsidR="00197AA0" w:rsidRPr="005F780E" w:rsidRDefault="00197AA0" w:rsidP="00232C32">
      <w:pPr>
        <w:spacing w:line="360" w:lineRule="auto"/>
        <w:ind w:right="44"/>
        <w:contextualSpacing/>
        <w:jc w:val="both"/>
        <w:rPr>
          <w:rFonts w:ascii="Arial" w:hAnsi="Arial" w:cs="Arial"/>
          <w:sz w:val="22"/>
          <w:szCs w:val="22"/>
        </w:rPr>
      </w:pPr>
    </w:p>
    <w:p w:rsidR="00197AA0" w:rsidRPr="005F780E" w:rsidRDefault="00197AA0" w:rsidP="00232C32">
      <w:pPr>
        <w:numPr>
          <w:ilvl w:val="0"/>
          <w:numId w:val="27"/>
        </w:numPr>
        <w:spacing w:after="200" w:line="360" w:lineRule="auto"/>
        <w:ind w:right="44"/>
        <w:contextualSpacing/>
        <w:jc w:val="both"/>
        <w:rPr>
          <w:rFonts w:ascii="Arial" w:hAnsi="Arial" w:cs="Arial"/>
          <w:sz w:val="22"/>
          <w:szCs w:val="22"/>
        </w:rPr>
      </w:pPr>
      <w:r w:rsidRPr="005F780E">
        <w:rPr>
          <w:rFonts w:ascii="Arial" w:hAnsi="Arial" w:cs="Arial"/>
          <w:sz w:val="22"/>
          <w:szCs w:val="22"/>
        </w:rPr>
        <w:t xml:space="preserve">Se recomienda que una vez finalizada la terminal de hidrocarburos que representa la tercera fase en el Puerto de La Unión, se cuente con los mecanismos adecuados para </w:t>
      </w:r>
      <w:r w:rsidRPr="005F780E">
        <w:rPr>
          <w:rFonts w:ascii="Arial" w:hAnsi="Arial" w:cs="Arial"/>
          <w:sz w:val="22"/>
          <w:szCs w:val="22"/>
        </w:rPr>
        <w:lastRenderedPageBreak/>
        <w:t xml:space="preserve">poder hacerle frente de la mejor manera a un posible vertido o derrame de hidrocarburos, donde además se cuente con un personal especializado pero no solo en materia de medio ambiente en aspecto general sino que en el área de hidrocarburos, para que de esta manera se pueda fortalecer aún más dicha seguridad que se pretende establecer en la terminal portuaria. </w:t>
      </w:r>
    </w:p>
    <w:p w:rsidR="00197AA0" w:rsidRPr="005F780E" w:rsidRDefault="00197AA0" w:rsidP="00232C32">
      <w:pPr>
        <w:spacing w:line="360" w:lineRule="auto"/>
        <w:ind w:left="360" w:right="44"/>
        <w:contextualSpacing/>
        <w:jc w:val="both"/>
        <w:rPr>
          <w:rFonts w:ascii="Arial" w:hAnsi="Arial" w:cs="Arial"/>
          <w:sz w:val="22"/>
          <w:szCs w:val="22"/>
        </w:rPr>
      </w:pPr>
    </w:p>
    <w:p w:rsidR="00197AA0" w:rsidRPr="005F780E" w:rsidRDefault="001D7573" w:rsidP="00232C32">
      <w:pPr>
        <w:numPr>
          <w:ilvl w:val="0"/>
          <w:numId w:val="27"/>
        </w:numPr>
        <w:spacing w:after="200" w:line="360" w:lineRule="auto"/>
        <w:ind w:right="44"/>
        <w:contextualSpacing/>
        <w:jc w:val="both"/>
        <w:rPr>
          <w:rFonts w:ascii="Arial" w:hAnsi="Arial" w:cs="Arial"/>
          <w:sz w:val="22"/>
          <w:szCs w:val="22"/>
        </w:rPr>
      </w:pPr>
      <w:r w:rsidRPr="001D7573">
        <w:rPr>
          <w:rFonts w:ascii="Arial" w:hAnsi="Arial" w:cs="Arial"/>
          <w:noProof/>
          <w:color w:val="000000"/>
          <w:sz w:val="22"/>
          <w:szCs w:val="22"/>
        </w:rPr>
        <w:pict>
          <v:shape id="_x0000_s1187" type="#_x0000_t202" style="position:absolute;left:0;text-align:left;margin-left:222.7pt;margin-top:115.9pt;width:45pt;height:21pt;z-index:251816960;mso-height-percent:200;mso-height-percent:200;mso-width-relative:margin;mso-height-relative:margin" fillcolor="white [3212]" stroked="f">
            <v:textbox style="mso-next-textbox:#_x0000_s1187;mso-fit-shape-to-text:t">
              <w:txbxContent>
                <w:p w:rsidR="00AC7D7B" w:rsidRDefault="00AC7D7B" w:rsidP="007467DF">
                  <w:r>
                    <w:t>141</w:t>
                  </w:r>
                </w:p>
              </w:txbxContent>
            </v:textbox>
          </v:shape>
        </w:pict>
      </w:r>
      <w:r w:rsidR="00197AA0" w:rsidRPr="005F780E">
        <w:rPr>
          <w:rFonts w:ascii="Arial" w:hAnsi="Arial" w:cs="Arial"/>
          <w:sz w:val="22"/>
          <w:szCs w:val="22"/>
        </w:rPr>
        <w:t xml:space="preserve">Así mismo, es de suma importancia que El Salvador revise y actualice el plan nacional de hidrocarburos, ya que este mismo se encuentra bastante desfasado y es por este motivo que es necesario ajustarlo a la actual dinámica que presenta la realidad nacional con el desarrollo del Puerto de La Unión, debido a que se necesita una base jurídica que contribuya a resolver algún posible derrame o vertido de hidrocarburo que suceda en la zona del Golfo de Fonseca.    </w:t>
      </w:r>
    </w:p>
    <w:p w:rsidR="00197AA0" w:rsidRPr="005F780E" w:rsidRDefault="00197AA0" w:rsidP="00232C32">
      <w:pPr>
        <w:spacing w:before="100" w:beforeAutospacing="1" w:after="100" w:afterAutospacing="1" w:line="360" w:lineRule="auto"/>
        <w:ind w:right="44"/>
        <w:contextualSpacing/>
        <w:jc w:val="both"/>
        <w:rPr>
          <w:rFonts w:ascii="Arial" w:hAnsi="Arial" w:cs="Arial"/>
          <w:sz w:val="22"/>
          <w:szCs w:val="22"/>
        </w:rPr>
      </w:pPr>
    </w:p>
    <w:p w:rsidR="00197AA0" w:rsidRPr="005F780E" w:rsidRDefault="00197AA0" w:rsidP="00232C32">
      <w:pPr>
        <w:numPr>
          <w:ilvl w:val="0"/>
          <w:numId w:val="27"/>
        </w:numPr>
        <w:spacing w:after="200" w:line="360" w:lineRule="auto"/>
        <w:ind w:right="44"/>
        <w:contextualSpacing/>
        <w:jc w:val="both"/>
        <w:rPr>
          <w:rFonts w:ascii="Arial" w:hAnsi="Arial" w:cs="Arial"/>
          <w:b/>
          <w:sz w:val="22"/>
          <w:szCs w:val="22"/>
        </w:rPr>
      </w:pPr>
      <w:r w:rsidRPr="005F780E">
        <w:rPr>
          <w:rFonts w:ascii="Arial" w:hAnsi="Arial" w:cs="Arial"/>
          <w:sz w:val="22"/>
          <w:szCs w:val="22"/>
        </w:rPr>
        <w:t>Se constató con la visita realizada al Puerto de La Unión, que se le ha dado una mayor prioridad a las instalaciones administrativas, ya que estas están construidas con un diseño muy novedoso, y se le ha dado mucho más énfasis a la comodidad en la que se encuentra el personal administrativo del puerto, que a otras cuestiones que deberían gozar de mayor importancia. Es por lo tanto que se recomienda que el presupuesto que el Estado otorga a un megaproyecto de esta magnitud como lo es el Puerto de La Unión, sea distribuido de mejor manera.</w:t>
      </w:r>
    </w:p>
    <w:p w:rsidR="00197AA0" w:rsidRDefault="00197AA0" w:rsidP="00232C32">
      <w:pPr>
        <w:pStyle w:val="NormalWeb"/>
        <w:spacing w:line="360" w:lineRule="auto"/>
        <w:ind w:right="44"/>
        <w:jc w:val="both"/>
        <w:rPr>
          <w:rFonts w:ascii="Arial" w:hAnsi="Arial" w:cs="Arial"/>
          <w:b/>
          <w:sz w:val="22"/>
          <w:szCs w:val="22"/>
          <w:lang w:eastAsia="es-ES"/>
        </w:rPr>
      </w:pPr>
    </w:p>
    <w:p w:rsidR="00197AA0" w:rsidRPr="005E1D74" w:rsidRDefault="00197AA0" w:rsidP="005E1D74">
      <w:pPr>
        <w:spacing w:line="360" w:lineRule="auto"/>
        <w:ind w:firstLine="567"/>
        <w:jc w:val="both"/>
        <w:rPr>
          <w:rFonts w:ascii="Arial" w:hAnsi="Arial" w:cs="Arial"/>
          <w:sz w:val="22"/>
          <w:szCs w:val="22"/>
        </w:rPr>
      </w:pPr>
    </w:p>
    <w:p w:rsidR="00197AA0" w:rsidRDefault="00197AA0" w:rsidP="00CA797C">
      <w:pPr>
        <w:pStyle w:val="Textonotapie"/>
        <w:spacing w:line="360" w:lineRule="auto"/>
        <w:jc w:val="both"/>
        <w:rPr>
          <w:rFonts w:ascii="Arial" w:hAnsi="Arial" w:cs="Arial"/>
          <w:b/>
          <w:sz w:val="22"/>
          <w:szCs w:val="22"/>
        </w:rPr>
      </w:pPr>
    </w:p>
    <w:p w:rsidR="00197AA0" w:rsidRDefault="00197AA0" w:rsidP="00CA797C">
      <w:pPr>
        <w:pStyle w:val="Textonotapie"/>
        <w:spacing w:line="360" w:lineRule="auto"/>
        <w:jc w:val="both"/>
        <w:rPr>
          <w:rFonts w:ascii="Arial" w:hAnsi="Arial" w:cs="Arial"/>
          <w:b/>
          <w:sz w:val="22"/>
          <w:szCs w:val="22"/>
        </w:rPr>
      </w:pPr>
    </w:p>
    <w:p w:rsidR="00197AA0" w:rsidRDefault="00197AA0" w:rsidP="00CA797C">
      <w:pPr>
        <w:pStyle w:val="Textonotapie"/>
        <w:spacing w:line="360" w:lineRule="auto"/>
        <w:jc w:val="both"/>
        <w:rPr>
          <w:rFonts w:ascii="Arial" w:hAnsi="Arial" w:cs="Arial"/>
          <w:b/>
          <w:sz w:val="22"/>
          <w:szCs w:val="22"/>
        </w:rPr>
      </w:pPr>
    </w:p>
    <w:p w:rsidR="00197AA0" w:rsidRDefault="00197AA0" w:rsidP="00CA797C">
      <w:pPr>
        <w:pStyle w:val="Textonotapie"/>
        <w:spacing w:line="360" w:lineRule="auto"/>
        <w:jc w:val="both"/>
        <w:rPr>
          <w:rFonts w:ascii="Arial" w:hAnsi="Arial" w:cs="Arial"/>
          <w:b/>
          <w:sz w:val="22"/>
          <w:szCs w:val="22"/>
        </w:rPr>
      </w:pPr>
    </w:p>
    <w:p w:rsidR="00197AA0" w:rsidRDefault="00197AA0" w:rsidP="00CA797C">
      <w:pPr>
        <w:pStyle w:val="Textonotapie"/>
        <w:spacing w:line="360" w:lineRule="auto"/>
        <w:jc w:val="both"/>
        <w:rPr>
          <w:rFonts w:ascii="Arial" w:hAnsi="Arial" w:cs="Arial"/>
          <w:b/>
          <w:sz w:val="22"/>
          <w:szCs w:val="22"/>
        </w:rPr>
      </w:pPr>
    </w:p>
    <w:p w:rsidR="00197AA0" w:rsidRDefault="00197AA0" w:rsidP="00CA797C">
      <w:pPr>
        <w:pStyle w:val="Textonotapie"/>
        <w:spacing w:line="360" w:lineRule="auto"/>
        <w:jc w:val="both"/>
        <w:rPr>
          <w:rFonts w:ascii="Arial" w:hAnsi="Arial" w:cs="Arial"/>
          <w:b/>
          <w:sz w:val="22"/>
          <w:szCs w:val="22"/>
        </w:rPr>
      </w:pPr>
    </w:p>
    <w:p w:rsidR="00197AA0" w:rsidRDefault="00197AA0" w:rsidP="00CA797C">
      <w:pPr>
        <w:pStyle w:val="Textonotapie"/>
        <w:spacing w:line="360" w:lineRule="auto"/>
        <w:jc w:val="both"/>
        <w:rPr>
          <w:rFonts w:ascii="Arial" w:hAnsi="Arial" w:cs="Arial"/>
          <w:b/>
          <w:sz w:val="22"/>
          <w:szCs w:val="22"/>
        </w:rPr>
      </w:pPr>
    </w:p>
    <w:p w:rsidR="00197AA0" w:rsidRDefault="00197AA0" w:rsidP="00CA797C">
      <w:pPr>
        <w:pStyle w:val="Textonotapie"/>
        <w:spacing w:line="360" w:lineRule="auto"/>
        <w:jc w:val="both"/>
        <w:rPr>
          <w:rFonts w:ascii="Arial" w:hAnsi="Arial" w:cs="Arial"/>
          <w:b/>
          <w:sz w:val="22"/>
          <w:szCs w:val="22"/>
        </w:rPr>
      </w:pPr>
    </w:p>
    <w:p w:rsidR="00197AA0" w:rsidRPr="00044A30" w:rsidRDefault="00197AA0" w:rsidP="00217C55">
      <w:pPr>
        <w:jc w:val="center"/>
        <w:rPr>
          <w:rFonts w:ascii="Arial" w:hAnsi="Arial" w:cs="Arial"/>
          <w:b/>
        </w:rPr>
      </w:pPr>
      <w:r>
        <w:rPr>
          <w:rFonts w:ascii="Arial" w:hAnsi="Arial" w:cs="Arial"/>
          <w:b/>
        </w:rPr>
        <w:t xml:space="preserve">            </w:t>
      </w:r>
    </w:p>
    <w:p w:rsidR="00197AA0" w:rsidRPr="00044A30" w:rsidRDefault="00197AA0" w:rsidP="00217C55">
      <w:pPr>
        <w:jc w:val="center"/>
        <w:rPr>
          <w:rFonts w:ascii="Arial" w:hAnsi="Arial" w:cs="Arial"/>
          <w:b/>
        </w:rPr>
      </w:pPr>
    </w:p>
    <w:p w:rsidR="00197AA0" w:rsidRPr="00044A30" w:rsidRDefault="00197AA0" w:rsidP="00217C55">
      <w:pPr>
        <w:jc w:val="center"/>
        <w:rPr>
          <w:rFonts w:ascii="Arial" w:hAnsi="Arial" w:cs="Arial"/>
          <w:b/>
        </w:rPr>
      </w:pPr>
    </w:p>
    <w:p w:rsidR="00197AA0" w:rsidRPr="00044A30" w:rsidRDefault="00197AA0" w:rsidP="00217C55">
      <w:pPr>
        <w:jc w:val="center"/>
        <w:rPr>
          <w:rFonts w:ascii="Arial" w:hAnsi="Arial" w:cs="Arial"/>
          <w:b/>
        </w:rPr>
      </w:pPr>
    </w:p>
    <w:p w:rsidR="00197AA0" w:rsidRPr="00044A30" w:rsidRDefault="00197AA0" w:rsidP="00217C55">
      <w:pPr>
        <w:jc w:val="center"/>
        <w:rPr>
          <w:rFonts w:ascii="Arial" w:hAnsi="Arial" w:cs="Arial"/>
          <w:b/>
        </w:rPr>
      </w:pPr>
    </w:p>
    <w:p w:rsidR="00197AA0" w:rsidRPr="00044A30" w:rsidRDefault="00197AA0" w:rsidP="00217C55">
      <w:pPr>
        <w:jc w:val="center"/>
        <w:rPr>
          <w:rFonts w:ascii="Arial" w:hAnsi="Arial" w:cs="Arial"/>
          <w:b/>
        </w:rPr>
      </w:pPr>
    </w:p>
    <w:p w:rsidR="00197AA0" w:rsidRPr="00044A30" w:rsidRDefault="00197AA0" w:rsidP="00217C55">
      <w:pPr>
        <w:jc w:val="center"/>
        <w:rPr>
          <w:rFonts w:ascii="Arial" w:hAnsi="Arial" w:cs="Arial"/>
          <w:b/>
        </w:rPr>
      </w:pPr>
    </w:p>
    <w:p w:rsidR="00197AA0" w:rsidRPr="00044A30" w:rsidRDefault="00197AA0" w:rsidP="00217C55">
      <w:pPr>
        <w:jc w:val="center"/>
        <w:rPr>
          <w:rFonts w:ascii="Arial" w:hAnsi="Arial" w:cs="Arial"/>
          <w:b/>
        </w:rPr>
      </w:pPr>
    </w:p>
    <w:p w:rsidR="00197AA0" w:rsidRPr="00044A30" w:rsidRDefault="00197AA0" w:rsidP="00217C55">
      <w:pPr>
        <w:jc w:val="center"/>
        <w:rPr>
          <w:rFonts w:ascii="Arial" w:hAnsi="Arial" w:cs="Arial"/>
          <w:b/>
        </w:rPr>
      </w:pPr>
    </w:p>
    <w:p w:rsidR="00197AA0" w:rsidRPr="00044A30" w:rsidRDefault="00197AA0" w:rsidP="00217C55">
      <w:pPr>
        <w:jc w:val="center"/>
        <w:rPr>
          <w:rFonts w:ascii="Arial" w:hAnsi="Arial" w:cs="Arial"/>
          <w:b/>
        </w:rPr>
      </w:pPr>
    </w:p>
    <w:p w:rsidR="00197AA0" w:rsidRPr="00044A30" w:rsidRDefault="00197AA0" w:rsidP="00217C55">
      <w:pPr>
        <w:jc w:val="both"/>
        <w:rPr>
          <w:rFonts w:ascii="Arial" w:hAnsi="Arial" w:cs="Arial"/>
          <w:b/>
        </w:rPr>
      </w:pPr>
      <w:r w:rsidRPr="00044A30">
        <w:rPr>
          <w:rFonts w:ascii="Arial" w:hAnsi="Arial" w:cs="Arial"/>
          <w:b/>
        </w:rPr>
        <w:t xml:space="preserve">                               </w:t>
      </w:r>
    </w:p>
    <w:p w:rsidR="00197AA0" w:rsidRPr="00044A30" w:rsidRDefault="00197AA0" w:rsidP="00217C55">
      <w:pPr>
        <w:jc w:val="both"/>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D7573" w:rsidP="00217C55">
      <w:pPr>
        <w:jc w:val="center"/>
        <w:rPr>
          <w:rFonts w:ascii="Arial" w:hAnsi="Arial" w:cs="Arial"/>
          <w:b/>
        </w:rPr>
      </w:pPr>
      <w:r>
        <w:rPr>
          <w:rFonts w:ascii="Arial" w:hAnsi="Arial" w:cs="Arial"/>
          <w:b/>
          <w:noProof/>
        </w:rPr>
        <w:pict>
          <v:shape id="_x0000_s1190" type="#_x0000_t202" style="position:absolute;left:0;text-align:left;margin-left:195.55pt;margin-top:31.35pt;width:48.4pt;height:21pt;z-index:251820032;mso-height-percent:200;mso-height-percent:200;mso-width-relative:margin;mso-height-relative:margin" fillcolor="white [3212]" stroked="f">
            <v:textbox style="mso-next-textbox:#_x0000_s1190;mso-fit-shape-to-text:t">
              <w:txbxContent>
                <w:p w:rsidR="00AC7D7B" w:rsidRDefault="00AC7D7B" w:rsidP="007467DF">
                  <w:r>
                    <w:t>142</w:t>
                  </w:r>
                </w:p>
              </w:txbxContent>
            </v:textbox>
          </v:shape>
        </w:pict>
      </w: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Default="00197AA0" w:rsidP="00217C55">
      <w:pPr>
        <w:jc w:val="center"/>
        <w:rPr>
          <w:rFonts w:ascii="Arial" w:hAnsi="Arial" w:cs="Arial"/>
          <w:b/>
        </w:rPr>
      </w:pPr>
    </w:p>
    <w:p w:rsidR="00197AA0" w:rsidRPr="00044A30" w:rsidRDefault="001D7573" w:rsidP="00217C55">
      <w:pPr>
        <w:jc w:val="center"/>
        <w:rPr>
          <w:rFonts w:ascii="Arial" w:hAnsi="Arial" w:cs="Arial"/>
          <w:b/>
        </w:rPr>
      </w:pPr>
      <w:r w:rsidRPr="001D7573">
        <w:rPr>
          <w:rFonts w:ascii="Arial" w:hAnsi="Arial" w:cs="Arial"/>
          <w:b/>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68.3pt;height:50.5pt" fillcolor="black" strokeweight="1pt">
            <v:fill opacity=".5"/>
            <v:shadow on="t" color="#99f" offset="3pt"/>
            <v:textpath style="font-family:&quot;Arial Black&quot;;v-text-kern:t" trim="t" fitpath="t" string="ANEXOS"/>
          </v:shape>
        </w:pict>
      </w:r>
    </w:p>
    <w:p w:rsidR="00197AA0" w:rsidRPr="00044A30" w:rsidRDefault="00197AA0" w:rsidP="00217C55">
      <w:pPr>
        <w:jc w:val="both"/>
        <w:rPr>
          <w:rFonts w:ascii="Arial" w:hAnsi="Arial" w:cs="Arial"/>
          <w:b/>
        </w:rPr>
      </w:pPr>
    </w:p>
    <w:p w:rsidR="00197AA0" w:rsidRPr="00044A30" w:rsidRDefault="00197AA0" w:rsidP="00217C55">
      <w:pPr>
        <w:jc w:val="both"/>
        <w:rPr>
          <w:rFonts w:ascii="Arial" w:hAnsi="Arial" w:cs="Arial"/>
          <w:b/>
        </w:rPr>
      </w:pPr>
    </w:p>
    <w:p w:rsidR="00197AA0" w:rsidRPr="00044A30" w:rsidRDefault="00197AA0" w:rsidP="00217C55">
      <w:pPr>
        <w:jc w:val="both"/>
        <w:rPr>
          <w:rFonts w:ascii="Arial" w:hAnsi="Arial" w:cs="Arial"/>
          <w:b/>
        </w:rPr>
      </w:pPr>
    </w:p>
    <w:p w:rsidR="00197AA0" w:rsidRPr="00044A30" w:rsidRDefault="00197AA0" w:rsidP="00217C55">
      <w:pPr>
        <w:jc w:val="both"/>
        <w:rPr>
          <w:rFonts w:ascii="Arial" w:hAnsi="Arial" w:cs="Arial"/>
          <w:b/>
        </w:rPr>
      </w:pPr>
    </w:p>
    <w:p w:rsidR="00197AA0" w:rsidRPr="00044A30" w:rsidRDefault="00197AA0" w:rsidP="00217C55">
      <w:pPr>
        <w:jc w:val="both"/>
        <w:rPr>
          <w:rFonts w:ascii="Arial" w:hAnsi="Arial" w:cs="Arial"/>
          <w:b/>
        </w:rPr>
      </w:pPr>
    </w:p>
    <w:p w:rsidR="00197AA0" w:rsidRPr="00044A30" w:rsidRDefault="00197AA0" w:rsidP="00217C55">
      <w:pPr>
        <w:jc w:val="both"/>
        <w:rPr>
          <w:rFonts w:ascii="Arial" w:hAnsi="Arial" w:cs="Arial"/>
          <w:b/>
        </w:rPr>
      </w:pPr>
    </w:p>
    <w:p w:rsidR="00197AA0" w:rsidRPr="00044A30" w:rsidRDefault="00197AA0" w:rsidP="00217C55">
      <w:pPr>
        <w:jc w:val="both"/>
        <w:rPr>
          <w:rFonts w:ascii="Arial" w:hAnsi="Arial" w:cs="Arial"/>
          <w:b/>
        </w:rPr>
      </w:pPr>
    </w:p>
    <w:p w:rsidR="00197AA0" w:rsidRPr="00044A30" w:rsidRDefault="00197AA0" w:rsidP="00217C55">
      <w:pPr>
        <w:jc w:val="both"/>
        <w:rPr>
          <w:rFonts w:ascii="Arial" w:hAnsi="Arial" w:cs="Arial"/>
          <w:b/>
        </w:rPr>
      </w:pPr>
    </w:p>
    <w:p w:rsidR="00197AA0" w:rsidRPr="00044A3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663A0A" w:rsidRDefault="00663A0A" w:rsidP="00217C55">
      <w:pPr>
        <w:jc w:val="both"/>
        <w:rPr>
          <w:rFonts w:ascii="Arial" w:hAnsi="Arial" w:cs="Arial"/>
          <w:b/>
        </w:rPr>
      </w:pPr>
    </w:p>
    <w:p w:rsidR="00663A0A" w:rsidRPr="00044A30" w:rsidRDefault="00663A0A" w:rsidP="00217C55">
      <w:pPr>
        <w:jc w:val="both"/>
        <w:rPr>
          <w:rFonts w:ascii="Arial" w:hAnsi="Arial" w:cs="Arial"/>
          <w:b/>
        </w:rPr>
      </w:pPr>
    </w:p>
    <w:p w:rsidR="00197AA0" w:rsidRPr="00044A30" w:rsidRDefault="00197AA0" w:rsidP="00217C55">
      <w:pPr>
        <w:jc w:val="both"/>
        <w:rPr>
          <w:rFonts w:ascii="Arial" w:hAnsi="Arial" w:cs="Arial"/>
          <w:b/>
        </w:rPr>
      </w:pPr>
    </w:p>
    <w:p w:rsidR="00197AA0" w:rsidRPr="00044A30" w:rsidRDefault="001D7573" w:rsidP="00217C55">
      <w:pPr>
        <w:jc w:val="both"/>
        <w:rPr>
          <w:rFonts w:ascii="Arial" w:hAnsi="Arial" w:cs="Arial"/>
          <w:b/>
        </w:rPr>
      </w:pPr>
      <w:r>
        <w:rPr>
          <w:rFonts w:ascii="Arial" w:hAnsi="Arial" w:cs="Arial"/>
          <w:b/>
          <w:noProof/>
        </w:rPr>
        <w:pict>
          <v:shape id="_x0000_s1189" type="#_x0000_t202" style="position:absolute;left:0;text-align:left;margin-left:216.7pt;margin-top:35.55pt;width:45pt;height:21pt;z-index:251819008;mso-height-percent:200;mso-height-percent:200;mso-width-relative:margin;mso-height-relative:margin" fillcolor="white [3212]" stroked="f">
            <v:textbox style="mso-next-textbox:#_x0000_s1189;mso-fit-shape-to-text:t">
              <w:txbxContent>
                <w:p w:rsidR="00AC7D7B" w:rsidRDefault="00AC7D7B" w:rsidP="007467DF">
                  <w:r>
                    <w:t>143</w:t>
                  </w:r>
                </w:p>
              </w:txbxContent>
            </v:textbox>
          </v:shape>
        </w:pict>
      </w:r>
    </w:p>
    <w:p w:rsidR="00197AA0" w:rsidRPr="005F780E" w:rsidRDefault="00197AA0" w:rsidP="00217C55">
      <w:pPr>
        <w:jc w:val="both"/>
        <w:rPr>
          <w:rFonts w:ascii="Arial" w:hAnsi="Arial" w:cs="Arial"/>
          <w:b/>
          <w:sz w:val="22"/>
          <w:szCs w:val="22"/>
        </w:rPr>
      </w:pPr>
      <w:r w:rsidRPr="005F780E">
        <w:rPr>
          <w:rFonts w:ascii="Arial" w:hAnsi="Arial" w:cs="Arial"/>
          <w:b/>
          <w:sz w:val="22"/>
          <w:szCs w:val="22"/>
        </w:rPr>
        <w:t>Anexo 1: Tamaño de los buques más reconocidos a nivel internacional</w:t>
      </w:r>
    </w:p>
    <w:p w:rsidR="00197AA0" w:rsidRPr="005F780E" w:rsidRDefault="00197AA0" w:rsidP="00217C55">
      <w:pPr>
        <w:jc w:val="both"/>
        <w:rPr>
          <w:rFonts w:ascii="Arial" w:hAnsi="Arial" w:cs="Arial"/>
          <w:b/>
          <w:sz w:val="22"/>
          <w:szCs w:val="22"/>
        </w:rPr>
      </w:pPr>
    </w:p>
    <w:p w:rsidR="00197AA0" w:rsidRPr="005F780E" w:rsidRDefault="00197AA0" w:rsidP="00217C55">
      <w:pPr>
        <w:numPr>
          <w:ilvl w:val="0"/>
          <w:numId w:val="28"/>
        </w:numPr>
        <w:spacing w:after="200" w:line="360" w:lineRule="auto"/>
        <w:jc w:val="both"/>
        <w:rPr>
          <w:rFonts w:ascii="Arial" w:hAnsi="Arial" w:cs="Arial"/>
          <w:sz w:val="22"/>
          <w:szCs w:val="22"/>
        </w:rPr>
      </w:pPr>
      <w:r w:rsidRPr="005F780E">
        <w:rPr>
          <w:rFonts w:ascii="Arial" w:hAnsi="Arial" w:cs="Arial"/>
          <w:sz w:val="22"/>
          <w:szCs w:val="22"/>
        </w:rPr>
        <w:t>Pánamax: El tanquero petrolero de mayor tamaño, el cual  puede viajar a través del canal de Panamá (hasta 70.000 TPM)</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56"/>
        <w:gridCol w:w="1843"/>
        <w:gridCol w:w="1843"/>
        <w:gridCol w:w="2658"/>
      </w:tblGrid>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p>
        </w:tc>
        <w:tc>
          <w:tcPr>
            <w:tcW w:w="1843"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Mínimo</w:t>
            </w:r>
          </w:p>
        </w:tc>
        <w:tc>
          <w:tcPr>
            <w:tcW w:w="1843"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Promedio</w:t>
            </w:r>
          </w:p>
        </w:tc>
        <w:tc>
          <w:tcPr>
            <w:tcW w:w="2658"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Máximo</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Largo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726</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761</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797</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Bao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106</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107</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118</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Tracción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38</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44</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45</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TPM</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61,938</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67,009</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69,999</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Capacidad de Barriles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419,000</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455,709</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527,285</w:t>
            </w:r>
          </w:p>
        </w:tc>
      </w:tr>
    </w:tbl>
    <w:p w:rsidR="00197AA0" w:rsidRPr="00044A30" w:rsidRDefault="00197AA0" w:rsidP="00217C55">
      <w:pPr>
        <w:spacing w:line="360" w:lineRule="auto"/>
        <w:ind w:left="720"/>
        <w:jc w:val="both"/>
        <w:rPr>
          <w:rFonts w:ascii="Arial" w:hAnsi="Arial" w:cs="Arial"/>
        </w:rPr>
      </w:pPr>
    </w:p>
    <w:p w:rsidR="00197AA0" w:rsidRDefault="00197AA0" w:rsidP="00217C55">
      <w:pPr>
        <w:numPr>
          <w:ilvl w:val="0"/>
          <w:numId w:val="28"/>
        </w:numPr>
        <w:autoSpaceDE w:val="0"/>
        <w:autoSpaceDN w:val="0"/>
        <w:adjustRightInd w:val="0"/>
        <w:spacing w:line="360" w:lineRule="auto"/>
        <w:ind w:left="708"/>
        <w:jc w:val="both"/>
        <w:rPr>
          <w:rStyle w:val="subtext"/>
          <w:rFonts w:ascii="Arial" w:hAnsi="Arial" w:cs="Arial"/>
          <w:sz w:val="22"/>
          <w:szCs w:val="22"/>
        </w:rPr>
      </w:pPr>
      <w:r w:rsidRPr="005F780E">
        <w:rPr>
          <w:rFonts w:ascii="Arial" w:hAnsi="Arial" w:cs="Arial"/>
          <w:sz w:val="22"/>
          <w:szCs w:val="22"/>
        </w:rPr>
        <w:t>Aframax: E</w:t>
      </w:r>
      <w:r w:rsidRPr="005F780E">
        <w:rPr>
          <w:rStyle w:val="subtext"/>
          <w:rFonts w:ascii="Arial" w:hAnsi="Arial" w:cs="Arial"/>
          <w:sz w:val="22"/>
          <w:szCs w:val="22"/>
        </w:rPr>
        <w:t>s un tamaño de buque, que utiliza el método de Gravamen Promedio de Rango de Carga (Average Freight Rate Assessment) para calcular el costo de la transportación. (70.000 a 120.000  Toneladas de Peso Muerto)</w:t>
      </w:r>
    </w:p>
    <w:p w:rsidR="00197AA0" w:rsidRPr="005F780E" w:rsidRDefault="00197AA0" w:rsidP="009520CB">
      <w:pPr>
        <w:autoSpaceDE w:val="0"/>
        <w:autoSpaceDN w:val="0"/>
        <w:adjustRightInd w:val="0"/>
        <w:spacing w:line="360" w:lineRule="auto"/>
        <w:ind w:left="348"/>
        <w:jc w:val="both"/>
        <w:rPr>
          <w:rFonts w:ascii="Arial" w:hAnsi="Arial" w:cs="Arial"/>
          <w:sz w:val="22"/>
          <w:szCs w:val="22"/>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56"/>
        <w:gridCol w:w="1843"/>
        <w:gridCol w:w="1843"/>
        <w:gridCol w:w="2658"/>
      </w:tblGrid>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p>
        </w:tc>
        <w:tc>
          <w:tcPr>
            <w:tcW w:w="1843"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Mínimo</w:t>
            </w:r>
          </w:p>
        </w:tc>
        <w:tc>
          <w:tcPr>
            <w:tcW w:w="1843"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Promedio</w:t>
            </w:r>
          </w:p>
        </w:tc>
        <w:tc>
          <w:tcPr>
            <w:tcW w:w="2658"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Máximo</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Largo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700</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797</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840</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Bao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106</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137</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150</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Tracción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38</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43</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57</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TPM</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70,000</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101,163</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116,283</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Capacidad de Barriles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293,000</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705,917</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817,000</w:t>
            </w:r>
          </w:p>
        </w:tc>
      </w:tr>
    </w:tbl>
    <w:p w:rsidR="00197AA0" w:rsidRPr="00044A30" w:rsidRDefault="00197AA0" w:rsidP="00217C55">
      <w:pPr>
        <w:autoSpaceDE w:val="0"/>
        <w:autoSpaceDN w:val="0"/>
        <w:adjustRightInd w:val="0"/>
        <w:spacing w:line="360" w:lineRule="auto"/>
        <w:ind w:left="708"/>
        <w:jc w:val="both"/>
        <w:rPr>
          <w:rFonts w:ascii="Arial" w:hAnsi="Arial" w:cs="Arial"/>
        </w:rPr>
      </w:pPr>
    </w:p>
    <w:p w:rsidR="00197AA0" w:rsidRPr="00044A30" w:rsidRDefault="00197AA0" w:rsidP="00217C55">
      <w:pPr>
        <w:autoSpaceDE w:val="0"/>
        <w:autoSpaceDN w:val="0"/>
        <w:adjustRightInd w:val="0"/>
        <w:spacing w:line="360" w:lineRule="auto"/>
        <w:ind w:left="708"/>
        <w:jc w:val="both"/>
        <w:rPr>
          <w:rFonts w:ascii="Arial" w:hAnsi="Arial" w:cs="Arial"/>
        </w:rPr>
      </w:pPr>
    </w:p>
    <w:p w:rsidR="00197AA0" w:rsidRPr="005F780E" w:rsidRDefault="001D7573" w:rsidP="00217C55">
      <w:pPr>
        <w:numPr>
          <w:ilvl w:val="0"/>
          <w:numId w:val="28"/>
        </w:numPr>
        <w:spacing w:after="200" w:line="360" w:lineRule="auto"/>
        <w:jc w:val="both"/>
        <w:rPr>
          <w:rFonts w:ascii="Arial" w:hAnsi="Arial" w:cs="Arial"/>
          <w:sz w:val="22"/>
          <w:szCs w:val="22"/>
        </w:rPr>
      </w:pPr>
      <w:r>
        <w:rPr>
          <w:rFonts w:ascii="Arial" w:hAnsi="Arial" w:cs="Arial"/>
          <w:noProof/>
          <w:sz w:val="22"/>
          <w:szCs w:val="22"/>
        </w:rPr>
        <w:lastRenderedPageBreak/>
        <w:pict>
          <v:shape id="_x0000_s1209" type="#_x0000_t202" style="position:absolute;left:0;text-align:left;margin-left:218.35pt;margin-top:248.4pt;width:48.4pt;height:21pt;z-index:251838464;mso-height-percent:200;mso-height-percent:200;mso-width-relative:margin;mso-height-relative:margin" fillcolor="white [3212]" stroked="f">
            <v:textbox style="mso-next-textbox:#_x0000_s1209;mso-fit-shape-to-text:t">
              <w:txbxContent>
                <w:p w:rsidR="00FF769A" w:rsidRDefault="00FF769A" w:rsidP="00FF769A">
                  <w:r>
                    <w:t>144</w:t>
                  </w:r>
                </w:p>
              </w:txbxContent>
            </v:textbox>
          </v:shape>
        </w:pict>
      </w:r>
      <w:r w:rsidR="00197AA0" w:rsidRPr="005F780E">
        <w:rPr>
          <w:rFonts w:ascii="Arial" w:hAnsi="Arial" w:cs="Arial"/>
          <w:sz w:val="22"/>
          <w:szCs w:val="22"/>
        </w:rPr>
        <w:t xml:space="preserve">Suezmax: </w:t>
      </w:r>
      <w:r w:rsidR="00197AA0" w:rsidRPr="005F780E">
        <w:rPr>
          <w:rStyle w:val="subtext"/>
          <w:rFonts w:ascii="Arial" w:hAnsi="Arial" w:cs="Arial"/>
          <w:sz w:val="22"/>
          <w:szCs w:val="22"/>
        </w:rPr>
        <w:t>El buque petrolero de mayor tamaño que puede viajar por el Canal de Suez aunque esté cargado. (120.000 a 200.000 o Toneladas de Peso Muerto)</w:t>
      </w:r>
      <w:r w:rsidR="00197AA0" w:rsidRPr="005F780E">
        <w:rPr>
          <w:rFonts w:ascii="Arial" w:hAnsi="Arial" w:cs="Arial"/>
          <w:b/>
          <w:sz w:val="22"/>
          <w:szCs w:val="22"/>
        </w:rPr>
        <w:t xml:space="preserve"> </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56"/>
        <w:gridCol w:w="1843"/>
        <w:gridCol w:w="1843"/>
        <w:gridCol w:w="2658"/>
      </w:tblGrid>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p>
        </w:tc>
        <w:tc>
          <w:tcPr>
            <w:tcW w:w="1843"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Mínimo</w:t>
            </w:r>
          </w:p>
        </w:tc>
        <w:tc>
          <w:tcPr>
            <w:tcW w:w="1843"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Promedio</w:t>
            </w:r>
          </w:p>
        </w:tc>
        <w:tc>
          <w:tcPr>
            <w:tcW w:w="2658"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Máximo</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Largo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817</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896</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952</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Bao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136</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154</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174</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Tracción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48</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55</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61</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TPM</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121,000</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152,765</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169,204</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Capacidad de Barriles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808,000</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1,023,882</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1,142,000</w:t>
            </w:r>
          </w:p>
        </w:tc>
      </w:tr>
    </w:tbl>
    <w:p w:rsidR="00197AA0" w:rsidRPr="00044A30" w:rsidRDefault="00197AA0" w:rsidP="00217C55">
      <w:pPr>
        <w:spacing w:line="360" w:lineRule="auto"/>
        <w:ind w:left="720"/>
        <w:jc w:val="both"/>
        <w:rPr>
          <w:rFonts w:ascii="Arial" w:hAnsi="Arial" w:cs="Arial"/>
        </w:rPr>
      </w:pPr>
    </w:p>
    <w:p w:rsidR="00197AA0" w:rsidRPr="005F780E" w:rsidRDefault="00197AA0" w:rsidP="00217C55">
      <w:pPr>
        <w:numPr>
          <w:ilvl w:val="0"/>
          <w:numId w:val="28"/>
        </w:numPr>
        <w:spacing w:after="200" w:line="360" w:lineRule="auto"/>
        <w:jc w:val="both"/>
        <w:rPr>
          <w:rFonts w:ascii="Arial" w:hAnsi="Arial" w:cs="Arial"/>
          <w:b/>
          <w:sz w:val="22"/>
          <w:szCs w:val="22"/>
        </w:rPr>
      </w:pPr>
      <w:r w:rsidRPr="005F780E">
        <w:rPr>
          <w:rFonts w:ascii="Arial" w:hAnsi="Arial" w:cs="Arial"/>
          <w:sz w:val="22"/>
          <w:szCs w:val="22"/>
        </w:rPr>
        <w:t>Very Large Crude Carrier (VLCC):</w:t>
      </w:r>
      <w:r w:rsidRPr="005F780E">
        <w:rPr>
          <w:rFonts w:ascii="Arial" w:hAnsi="Arial" w:cs="Arial"/>
          <w:b/>
          <w:sz w:val="22"/>
          <w:szCs w:val="22"/>
        </w:rPr>
        <w:t xml:space="preserve"> </w:t>
      </w:r>
      <w:r w:rsidRPr="005F780E">
        <w:rPr>
          <w:rFonts w:ascii="Arial" w:hAnsi="Arial" w:cs="Arial"/>
          <w:sz w:val="22"/>
          <w:szCs w:val="22"/>
        </w:rPr>
        <w:t>Es un superpetrolero que pesa entre 200,000 y 325,000 toneladas muertas o netas con capacidad aproximada para 2, 000,000 barriles.</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56"/>
        <w:gridCol w:w="1843"/>
        <w:gridCol w:w="1843"/>
        <w:gridCol w:w="2658"/>
      </w:tblGrid>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p>
        </w:tc>
        <w:tc>
          <w:tcPr>
            <w:tcW w:w="1843"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Mínimo</w:t>
            </w:r>
          </w:p>
        </w:tc>
        <w:tc>
          <w:tcPr>
            <w:tcW w:w="1843"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Promedio</w:t>
            </w:r>
          </w:p>
        </w:tc>
        <w:tc>
          <w:tcPr>
            <w:tcW w:w="2658" w:type="dxa"/>
          </w:tcPr>
          <w:p w:rsidR="00197AA0" w:rsidRPr="0026450C" w:rsidRDefault="00197AA0" w:rsidP="009F3905">
            <w:pPr>
              <w:spacing w:line="360" w:lineRule="auto"/>
              <w:jc w:val="both"/>
              <w:rPr>
                <w:rFonts w:ascii="Arial" w:hAnsi="Arial" w:cs="Arial"/>
                <w:b/>
                <w:sz w:val="18"/>
                <w:szCs w:val="18"/>
              </w:rPr>
            </w:pPr>
            <w:r w:rsidRPr="0026450C">
              <w:rPr>
                <w:rFonts w:ascii="Arial" w:hAnsi="Arial" w:cs="Arial"/>
                <w:b/>
                <w:sz w:val="18"/>
                <w:szCs w:val="18"/>
              </w:rPr>
              <w:t>Máximo</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Largo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1037</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1091</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1092</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Bao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184</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193</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196</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Tracción (pies)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62</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71</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74</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TPM</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258,096</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300,118</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319,430</w:t>
            </w:r>
          </w:p>
        </w:tc>
      </w:tr>
      <w:tr w:rsidR="00197AA0" w:rsidRPr="0026450C" w:rsidTr="009F3905">
        <w:tc>
          <w:tcPr>
            <w:tcW w:w="1656"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Capacidad de Barriles</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1,920,000</w:t>
            </w:r>
          </w:p>
        </w:tc>
        <w:tc>
          <w:tcPr>
            <w:tcW w:w="1843"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2,098,087</w:t>
            </w:r>
          </w:p>
        </w:tc>
        <w:tc>
          <w:tcPr>
            <w:tcW w:w="2658" w:type="dxa"/>
          </w:tcPr>
          <w:p w:rsidR="00197AA0" w:rsidRPr="0026450C" w:rsidRDefault="00197AA0" w:rsidP="009F3905">
            <w:pPr>
              <w:spacing w:line="360" w:lineRule="auto"/>
              <w:jc w:val="both"/>
              <w:rPr>
                <w:rFonts w:ascii="Arial" w:hAnsi="Arial" w:cs="Arial"/>
                <w:sz w:val="18"/>
                <w:szCs w:val="18"/>
              </w:rPr>
            </w:pPr>
            <w:r w:rsidRPr="0026450C">
              <w:rPr>
                <w:rFonts w:ascii="Arial" w:hAnsi="Arial" w:cs="Arial"/>
                <w:sz w:val="18"/>
                <w:szCs w:val="18"/>
              </w:rPr>
              <w:t>2,221,000</w:t>
            </w:r>
          </w:p>
        </w:tc>
      </w:tr>
    </w:tbl>
    <w:p w:rsidR="00197AA0" w:rsidRPr="00044A30" w:rsidRDefault="00197AA0" w:rsidP="00217C55">
      <w:pPr>
        <w:spacing w:line="360" w:lineRule="auto"/>
        <w:ind w:left="720"/>
        <w:jc w:val="both"/>
        <w:rPr>
          <w:rFonts w:ascii="Arial" w:hAnsi="Arial" w:cs="Arial"/>
          <w:b/>
        </w:rPr>
      </w:pPr>
    </w:p>
    <w:p w:rsidR="00197AA0" w:rsidRPr="005F780E" w:rsidRDefault="00197AA0" w:rsidP="00217C55">
      <w:pPr>
        <w:numPr>
          <w:ilvl w:val="0"/>
          <w:numId w:val="28"/>
        </w:numPr>
        <w:spacing w:after="200" w:line="360" w:lineRule="auto"/>
        <w:jc w:val="both"/>
        <w:rPr>
          <w:rFonts w:ascii="Arial" w:hAnsi="Arial" w:cs="Arial"/>
          <w:b/>
          <w:sz w:val="22"/>
          <w:szCs w:val="22"/>
        </w:rPr>
      </w:pPr>
      <w:r w:rsidRPr="005F780E">
        <w:rPr>
          <w:rFonts w:ascii="Arial" w:hAnsi="Arial" w:cs="Arial"/>
          <w:sz w:val="22"/>
          <w:szCs w:val="22"/>
        </w:rPr>
        <w:t>Ultra Large Crude Carrier (ULCC):</w:t>
      </w:r>
      <w:r w:rsidRPr="005F780E">
        <w:rPr>
          <w:rFonts w:ascii="Arial" w:hAnsi="Arial" w:cs="Arial"/>
          <w:b/>
          <w:sz w:val="22"/>
          <w:szCs w:val="22"/>
        </w:rPr>
        <w:t xml:space="preserve"> </w:t>
      </w:r>
      <w:r w:rsidRPr="005F780E">
        <w:rPr>
          <w:rFonts w:ascii="Arial" w:hAnsi="Arial" w:cs="Arial"/>
          <w:sz w:val="22"/>
          <w:szCs w:val="22"/>
        </w:rPr>
        <w:t>Es un buque tanquero extremadamente grande que pesa entre 326,000 a 550,000 toneladas netas/ muertas con capacidad aproximada para 4, 000,000 barriles.</w:t>
      </w:r>
    </w:p>
    <w:p w:rsidR="00197AA0" w:rsidRPr="00044A30" w:rsidRDefault="00197AA0" w:rsidP="00217C55">
      <w:pPr>
        <w:jc w:val="both"/>
        <w:rPr>
          <w:rFonts w:ascii="Arial" w:hAnsi="Arial" w:cs="Arial"/>
        </w:rPr>
      </w:pPr>
    </w:p>
    <w:p w:rsidR="00197AA0" w:rsidRPr="00044A3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Pr="00044A30" w:rsidRDefault="001D7573" w:rsidP="00217C55">
      <w:pPr>
        <w:jc w:val="both"/>
        <w:rPr>
          <w:rFonts w:ascii="Arial" w:hAnsi="Arial" w:cs="Arial"/>
          <w:b/>
        </w:rPr>
      </w:pPr>
      <w:r w:rsidRPr="001D7573">
        <w:rPr>
          <w:rFonts w:ascii="Arial" w:hAnsi="Arial" w:cs="Arial"/>
          <w:noProof/>
        </w:rPr>
        <w:pict>
          <v:shape id="_x0000_s1192" type="#_x0000_t202" style="position:absolute;left:0;text-align:left;margin-left:206.35pt;margin-top:46.5pt;width:48.4pt;height:21pt;z-index:251822080;mso-height-percent:200;mso-height-percent:200;mso-width-relative:margin;mso-height-relative:margin" fillcolor="white [3212]" stroked="f">
            <v:textbox style="mso-next-textbox:#_x0000_s1192;mso-fit-shape-to-text:t">
              <w:txbxContent>
                <w:p w:rsidR="00AC7D7B" w:rsidRDefault="00AC7D7B" w:rsidP="007467DF">
                  <w:r>
                    <w:t>145</w:t>
                  </w:r>
                </w:p>
              </w:txbxContent>
            </v:textbox>
          </v:shape>
        </w:pict>
      </w:r>
    </w:p>
    <w:p w:rsidR="00197AA0" w:rsidRPr="005F780E" w:rsidRDefault="00197AA0" w:rsidP="00217C55">
      <w:pPr>
        <w:spacing w:line="360" w:lineRule="auto"/>
        <w:jc w:val="both"/>
        <w:rPr>
          <w:rFonts w:ascii="Arial" w:hAnsi="Arial" w:cs="Arial"/>
          <w:b/>
          <w:sz w:val="22"/>
          <w:szCs w:val="22"/>
        </w:rPr>
      </w:pPr>
      <w:r w:rsidRPr="005F780E">
        <w:rPr>
          <w:rFonts w:ascii="Arial" w:hAnsi="Arial" w:cs="Arial"/>
          <w:b/>
          <w:sz w:val="22"/>
          <w:szCs w:val="22"/>
        </w:rPr>
        <w:t>Anexo 2: TEUs totales movilizados</w:t>
      </w:r>
    </w:p>
    <w:p w:rsidR="00197AA0" w:rsidRDefault="00197AA0" w:rsidP="00217C55">
      <w:pPr>
        <w:spacing w:line="360" w:lineRule="auto"/>
        <w:jc w:val="both"/>
        <w:rPr>
          <w:rFonts w:ascii="Arial" w:hAnsi="Arial" w:cs="Arial"/>
          <w:b/>
        </w:rPr>
      </w:pPr>
    </w:p>
    <w:tbl>
      <w:tblPr>
        <w:tblW w:w="4900" w:type="pct"/>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A0"/>
      </w:tblPr>
      <w:tblGrid>
        <w:gridCol w:w="572"/>
        <w:gridCol w:w="2552"/>
        <w:gridCol w:w="2349"/>
        <w:gridCol w:w="1009"/>
        <w:gridCol w:w="1339"/>
        <w:gridCol w:w="889"/>
      </w:tblGrid>
      <w:tr w:rsidR="00197AA0" w:rsidRPr="0026450C" w:rsidTr="009F3905">
        <w:trPr>
          <w:tblCellSpacing w:w="0" w:type="dxa"/>
          <w:jc w:val="center"/>
        </w:trPr>
        <w:tc>
          <w:tcPr>
            <w:tcW w:w="0" w:type="auto"/>
            <w:vAlign w:val="center"/>
          </w:tcPr>
          <w:p w:rsidR="00197AA0" w:rsidRPr="006B45DD" w:rsidRDefault="00197AA0" w:rsidP="009F3905">
            <w:pPr>
              <w:spacing w:line="360" w:lineRule="auto"/>
              <w:jc w:val="center"/>
              <w:rPr>
                <w:rFonts w:ascii="Arial" w:hAnsi="Arial" w:cs="Arial"/>
                <w:sz w:val="18"/>
                <w:szCs w:val="18"/>
              </w:rPr>
            </w:pPr>
            <w:r w:rsidRPr="006B45DD">
              <w:rPr>
                <w:rFonts w:ascii="Arial" w:hAnsi="Arial" w:cs="Arial"/>
                <w:b/>
                <w:bCs/>
                <w:sz w:val="18"/>
                <w:szCs w:val="18"/>
              </w:rPr>
              <w:t xml:space="preserve">RNK </w:t>
            </w:r>
            <w:r w:rsidRPr="006B45DD">
              <w:rPr>
                <w:rFonts w:ascii="Arial" w:hAnsi="Arial" w:cs="Arial"/>
                <w:b/>
                <w:bCs/>
                <w:sz w:val="18"/>
                <w:szCs w:val="18"/>
              </w:rPr>
              <w:br/>
              <w:t>2009</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b/>
                <w:bCs/>
                <w:sz w:val="18"/>
                <w:szCs w:val="18"/>
              </w:rPr>
              <w:t xml:space="preserve"> PUERTO</w:t>
            </w:r>
          </w:p>
        </w:tc>
        <w:tc>
          <w:tcPr>
            <w:tcW w:w="0" w:type="auto"/>
            <w:vAlign w:val="center"/>
          </w:tcPr>
          <w:p w:rsidR="00197AA0" w:rsidRPr="006B45DD" w:rsidRDefault="00197AA0" w:rsidP="009F3905">
            <w:pPr>
              <w:spacing w:line="360" w:lineRule="auto"/>
              <w:rPr>
                <w:rFonts w:ascii="Arial" w:hAnsi="Arial" w:cs="Arial"/>
                <w:sz w:val="18"/>
                <w:szCs w:val="18"/>
              </w:rPr>
            </w:pPr>
            <w:r>
              <w:rPr>
                <w:rFonts w:ascii="Arial" w:hAnsi="Arial" w:cs="Arial"/>
                <w:b/>
                <w:bCs/>
                <w:sz w:val="18"/>
                <w:szCs w:val="18"/>
              </w:rPr>
              <w:t>PAÌS</w:t>
            </w:r>
          </w:p>
        </w:tc>
        <w:tc>
          <w:tcPr>
            <w:tcW w:w="1009" w:type="dxa"/>
            <w:vAlign w:val="center"/>
          </w:tcPr>
          <w:p w:rsidR="00197AA0" w:rsidRPr="006B45DD" w:rsidRDefault="00197AA0" w:rsidP="009F3905">
            <w:pPr>
              <w:spacing w:line="360" w:lineRule="auto"/>
              <w:jc w:val="center"/>
              <w:rPr>
                <w:rFonts w:ascii="Arial" w:hAnsi="Arial" w:cs="Arial"/>
                <w:sz w:val="18"/>
                <w:szCs w:val="18"/>
              </w:rPr>
            </w:pPr>
            <w:r w:rsidRPr="006B45DD">
              <w:rPr>
                <w:rFonts w:ascii="Arial" w:hAnsi="Arial" w:cs="Arial"/>
                <w:b/>
                <w:bCs/>
                <w:sz w:val="18"/>
                <w:szCs w:val="18"/>
              </w:rPr>
              <w:t xml:space="preserve">TEU 2008 </w:t>
            </w:r>
          </w:p>
        </w:tc>
        <w:tc>
          <w:tcPr>
            <w:tcW w:w="1339" w:type="dxa"/>
            <w:vAlign w:val="center"/>
          </w:tcPr>
          <w:p w:rsidR="00197AA0" w:rsidRPr="006B45DD" w:rsidRDefault="00197AA0" w:rsidP="009F3905">
            <w:pPr>
              <w:spacing w:line="360" w:lineRule="auto"/>
              <w:jc w:val="center"/>
              <w:rPr>
                <w:rFonts w:ascii="Arial" w:hAnsi="Arial" w:cs="Arial"/>
                <w:sz w:val="18"/>
                <w:szCs w:val="18"/>
              </w:rPr>
            </w:pPr>
            <w:r w:rsidRPr="006B45DD">
              <w:rPr>
                <w:rFonts w:ascii="Arial" w:hAnsi="Arial" w:cs="Arial"/>
                <w:b/>
                <w:bCs/>
                <w:sz w:val="18"/>
                <w:szCs w:val="18"/>
              </w:rPr>
              <w:t>TEU 2009</w:t>
            </w:r>
            <w:r w:rsidRPr="006B45DD">
              <w:rPr>
                <w:rFonts w:ascii="Arial" w:hAnsi="Arial" w:cs="Arial"/>
                <w:sz w:val="18"/>
                <w:szCs w:val="18"/>
              </w:rPr>
              <w:t xml:space="preserve"> </w:t>
            </w:r>
          </w:p>
        </w:tc>
        <w:tc>
          <w:tcPr>
            <w:tcW w:w="0" w:type="auto"/>
            <w:vAlign w:val="center"/>
          </w:tcPr>
          <w:p w:rsidR="00197AA0" w:rsidRPr="006B45DD" w:rsidRDefault="00197AA0" w:rsidP="009F3905">
            <w:pPr>
              <w:spacing w:line="360" w:lineRule="auto"/>
              <w:jc w:val="center"/>
              <w:rPr>
                <w:rFonts w:ascii="Arial" w:hAnsi="Arial" w:cs="Arial"/>
                <w:sz w:val="18"/>
                <w:szCs w:val="18"/>
              </w:rPr>
            </w:pPr>
            <w:r w:rsidRPr="006B45DD">
              <w:rPr>
                <w:rFonts w:ascii="Arial" w:hAnsi="Arial" w:cs="Arial"/>
                <w:b/>
                <w:bCs/>
                <w:sz w:val="18"/>
                <w:szCs w:val="18"/>
              </w:rPr>
              <w:t>Var.</w:t>
            </w:r>
            <w:r w:rsidRPr="006B45DD">
              <w:rPr>
                <w:rFonts w:ascii="Arial" w:hAnsi="Arial" w:cs="Arial"/>
                <w:b/>
                <w:bCs/>
                <w:sz w:val="18"/>
                <w:szCs w:val="18"/>
              </w:rPr>
              <w:br/>
              <w:t>2009/08</w:t>
            </w:r>
            <w:r w:rsidRPr="006B45DD">
              <w:rPr>
                <w:rFonts w:ascii="Arial" w:hAnsi="Arial" w:cs="Arial"/>
                <w:sz w:val="18"/>
                <w:szCs w:val="18"/>
              </w:rPr>
              <w:t xml:space="preserve"> </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Santos</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2.677.839</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2.255.862 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-15,8%</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 xml:space="preserve">Colón </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Panamá</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2.468.520</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2.210.720 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-10,4%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Balboa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Panamá</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2.167.977</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2.011.778 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-7,2%</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Kingston</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Jamaica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1.830.000</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1.700.000 (e)</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-7,1%</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5</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Freeport</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Bahamas</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1.698.000</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1.680.000 (e)</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-1,1%</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 xml:space="preserve">Buenos Aires </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Argentina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1.781.100</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1.412.462 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-20,7%</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7</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 xml:space="preserve">Cartagena </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Colombia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1.060.714</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1.237.873 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16,7%</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8</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Manzanillo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México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1.409.782</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1.110.350 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-21,2%</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9</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Callao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Perú</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1.203.315</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1.089.838 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-9,4%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10</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Caucedo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República Dominicana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736.879</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906.279 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23,0%</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11</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Guayaquil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Ecuador</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874.955</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884.100 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1,0%</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12</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Puerto Cabello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Venezuela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809.454</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790.000 (e)</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13</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Puerto Limón-Moin</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Costa Rica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835.143</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748.029 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-10,4%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14</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San Antonio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Chile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687.864</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729.033 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6,0%</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15</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Valparaiso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Chile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946.921</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677.432 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-28,5%</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16</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S.P.R. Buenaventura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Colombia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743.295</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647.323 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-12,9%</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17</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Paranaguá</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595.729</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630.597 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5,9%</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18</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Rio Grande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601.580</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629.586 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4,7%</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19</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Itajai</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693.580</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600.522 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-13,4%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20</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Montevideo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Uruguay</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675.273</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588.410 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-12,9%</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21</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Lazaro Cárdenas</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México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524.791</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585.449 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11,6%</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22</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Veracruz</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México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716.046</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564.315 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-21,2%</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lastRenderedPageBreak/>
              <w:t>23</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Talcahuano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Chile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604.624</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494.329 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-18,2%</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24</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Puerto Cortes</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Honduras</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572.382</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484.184 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-15,4%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25</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Altamira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México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436.234</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400.968 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-8,1%</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26</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Port of Spain</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Trinidad y Tobago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385.000</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w:t>
            </w:r>
          </w:p>
        </w:tc>
        <w:tc>
          <w:tcPr>
            <w:tcW w:w="0" w:type="auto"/>
            <w:vAlign w:val="center"/>
          </w:tcPr>
          <w:p w:rsidR="00197AA0" w:rsidRPr="006B45DD" w:rsidRDefault="00197AA0" w:rsidP="009F3905">
            <w:pPr>
              <w:spacing w:line="360" w:lineRule="auto"/>
              <w:rPr>
                <w:rFonts w:ascii="Arial" w:hAnsi="Arial" w:cs="Arial"/>
                <w:sz w:val="18"/>
                <w:szCs w:val="18"/>
              </w:rPr>
            </w:pP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27</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La Guaira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Venezuela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436.911</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378.318 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-13,4%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28</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Rio de Janeiro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428.191</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350.295 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-18,2%</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29</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Santo Tomas de Castilla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Guatemala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322.519</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329.946 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2,3%</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30</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La Habana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Cuba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319.000</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w:t>
            </w:r>
          </w:p>
        </w:tc>
        <w:tc>
          <w:tcPr>
            <w:tcW w:w="0" w:type="auto"/>
            <w:vAlign w:val="center"/>
          </w:tcPr>
          <w:p w:rsidR="00197AA0" w:rsidRPr="006B45DD" w:rsidRDefault="00197AA0" w:rsidP="009F3905">
            <w:pPr>
              <w:spacing w:line="360" w:lineRule="auto"/>
              <w:rPr>
                <w:rFonts w:ascii="Arial" w:hAnsi="Arial" w:cs="Arial"/>
                <w:sz w:val="18"/>
                <w:szCs w:val="18"/>
              </w:rPr>
            </w:pP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31</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Puerto Barrios</w:t>
            </w:r>
          </w:p>
        </w:tc>
        <w:tc>
          <w:tcPr>
            <w:tcW w:w="0" w:type="auto"/>
            <w:vAlign w:val="center"/>
          </w:tcPr>
          <w:p w:rsidR="00197AA0" w:rsidRPr="006B45DD" w:rsidRDefault="001D7573" w:rsidP="009F3905">
            <w:pPr>
              <w:spacing w:line="360" w:lineRule="auto"/>
              <w:rPr>
                <w:rFonts w:ascii="Arial" w:hAnsi="Arial" w:cs="Arial"/>
                <w:sz w:val="18"/>
                <w:szCs w:val="18"/>
              </w:rPr>
            </w:pPr>
            <w:r>
              <w:rPr>
                <w:rFonts w:ascii="Arial" w:hAnsi="Arial" w:cs="Arial"/>
                <w:noProof/>
                <w:sz w:val="18"/>
                <w:szCs w:val="18"/>
              </w:rPr>
              <w:pict>
                <v:shape id="_x0000_s1194" type="#_x0000_t202" style="position:absolute;margin-left:37.45pt;margin-top:57.55pt;width:48.4pt;height:21pt;z-index:251824128;mso-height-percent:200;mso-position-horizontal-relative:text;mso-position-vertical-relative:text;mso-height-percent:200;mso-width-relative:margin;mso-height-relative:margin" fillcolor="white [3212]" stroked="f">
                  <v:textbox style="mso-next-textbox:#_x0000_s1194;mso-fit-shape-to-text:t">
                    <w:txbxContent>
                      <w:p w:rsidR="00AC7D7B" w:rsidRDefault="00AC7D7B" w:rsidP="007467DF">
                        <w:r>
                          <w:t>146</w:t>
                        </w:r>
                      </w:p>
                    </w:txbxContent>
                  </v:textbox>
                </v:shape>
              </w:pict>
            </w:r>
            <w:r w:rsidR="00197AA0" w:rsidRPr="006B45DD">
              <w:rPr>
                <w:rFonts w:ascii="Arial" w:hAnsi="Arial" w:cs="Arial"/>
                <w:sz w:val="18"/>
                <w:szCs w:val="18"/>
              </w:rPr>
              <w:t>Guatemala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248.797</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317.646 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27,7%</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32</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Haina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República Dominicana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283.229</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277.971 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-1,9%</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33</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Salvador</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263.722</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244.204 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-7,4%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34</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Suape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293.133</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242.765 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-17,2%</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35</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Iquique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Chile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334.326</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226.062 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-32,4%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36</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Puerto Quetzal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Guatemala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278.798</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212.941 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-23,6%</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37</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Vitória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271.786</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209.096 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-23,1%</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38</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 xml:space="preserve">Itaguai </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282.007</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206.667 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-26,7%</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39</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Lirquen</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Chile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231.397</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206.541 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-10,7%</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40</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Sâo Francisco do Sul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237.027</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190.321 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-19,7%</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41</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Point Lisas</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Trinidad y Tobago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175.000</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w:t>
            </w:r>
          </w:p>
        </w:tc>
        <w:tc>
          <w:tcPr>
            <w:tcW w:w="0" w:type="auto"/>
            <w:vAlign w:val="center"/>
          </w:tcPr>
          <w:p w:rsidR="00197AA0" w:rsidRPr="006B45DD" w:rsidRDefault="00197AA0" w:rsidP="009F3905">
            <w:pPr>
              <w:spacing w:line="360" w:lineRule="auto"/>
              <w:rPr>
                <w:rFonts w:ascii="Arial" w:hAnsi="Arial" w:cs="Arial"/>
                <w:sz w:val="18"/>
                <w:szCs w:val="18"/>
              </w:rPr>
            </w:pP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42</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Jarry</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Guadalupe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170.729</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142.692 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-16,4%</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43</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Pecem</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Brasil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144.416</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137.487 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-4,8%</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44</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Caldera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Costa Rica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169.827</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127.658 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-24,8%</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45</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Coronel</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Chile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968</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118.253 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46</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Puerto Angamos</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Chile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97.226</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117.924 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21,3%</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47</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Acajutla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El Salvador</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156.323</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115.165 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-26,3%</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48</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Ensenada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México</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110.423</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110.952 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0,5%</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49</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Arica</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Chile</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116.720</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109.572 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-6,1%</w:t>
            </w:r>
          </w:p>
        </w:tc>
      </w:tr>
      <w:tr w:rsidR="00197AA0" w:rsidRPr="0026450C" w:rsidTr="009F3905">
        <w:trPr>
          <w:tblCellSpacing w:w="0" w:type="dxa"/>
          <w:jc w:val="center"/>
        </w:trPr>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50</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Willemstad</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Antillas Holandesas</w:t>
            </w:r>
          </w:p>
        </w:tc>
        <w:tc>
          <w:tcPr>
            <w:tcW w:w="0" w:type="auto"/>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102.082</w:t>
            </w:r>
          </w:p>
        </w:tc>
        <w:tc>
          <w:tcPr>
            <w:tcW w:w="0" w:type="auto"/>
            <w:noWrap/>
            <w:vAlign w:val="center"/>
          </w:tcPr>
          <w:p w:rsidR="00197AA0" w:rsidRPr="006B45DD" w:rsidRDefault="00197AA0" w:rsidP="009F3905">
            <w:pPr>
              <w:spacing w:line="360" w:lineRule="auto"/>
              <w:rPr>
                <w:rFonts w:ascii="Arial" w:hAnsi="Arial" w:cs="Arial"/>
                <w:sz w:val="18"/>
                <w:szCs w:val="18"/>
              </w:rPr>
            </w:pPr>
            <w:r w:rsidRPr="006B45DD">
              <w:rPr>
                <w:rFonts w:ascii="Arial" w:hAnsi="Arial" w:cs="Arial"/>
                <w:sz w:val="18"/>
                <w:szCs w:val="18"/>
              </w:rPr>
              <w:t>97.913 </w:t>
            </w:r>
          </w:p>
        </w:tc>
        <w:tc>
          <w:tcPr>
            <w:tcW w:w="0" w:type="auto"/>
            <w:vAlign w:val="center"/>
          </w:tcPr>
          <w:p w:rsidR="00197AA0" w:rsidRPr="006B45DD" w:rsidRDefault="00197AA0" w:rsidP="009F3905">
            <w:pPr>
              <w:spacing w:line="360" w:lineRule="auto"/>
              <w:jc w:val="right"/>
              <w:rPr>
                <w:rFonts w:ascii="Arial" w:hAnsi="Arial" w:cs="Arial"/>
                <w:sz w:val="18"/>
                <w:szCs w:val="18"/>
              </w:rPr>
            </w:pPr>
            <w:r w:rsidRPr="006B45DD">
              <w:rPr>
                <w:rFonts w:ascii="Arial" w:hAnsi="Arial" w:cs="Arial"/>
                <w:sz w:val="18"/>
                <w:szCs w:val="18"/>
              </w:rPr>
              <w:t>-4,1%</w:t>
            </w:r>
          </w:p>
        </w:tc>
      </w:tr>
    </w:tbl>
    <w:p w:rsidR="00197AA0" w:rsidRPr="003E4B36" w:rsidRDefault="00197AA0" w:rsidP="00217C55">
      <w:pPr>
        <w:spacing w:line="360" w:lineRule="auto"/>
        <w:jc w:val="both"/>
        <w:rPr>
          <w:rFonts w:ascii="Arial" w:hAnsi="Arial" w:cs="Arial"/>
          <w:sz w:val="18"/>
          <w:szCs w:val="18"/>
        </w:rPr>
      </w:pPr>
      <w:r w:rsidRPr="003E4B36">
        <w:rPr>
          <w:rFonts w:ascii="Arial" w:hAnsi="Arial" w:cs="Arial"/>
          <w:sz w:val="18"/>
          <w:szCs w:val="18"/>
        </w:rPr>
        <w:t xml:space="preserve">Fuente: </w:t>
      </w:r>
      <w:r>
        <w:rPr>
          <w:rFonts w:ascii="Arial" w:hAnsi="Arial" w:cs="Arial"/>
          <w:sz w:val="18"/>
          <w:szCs w:val="18"/>
        </w:rPr>
        <w:t>CEPAL: Ranking 2009 de Actividad portuaria de contenedores en America Latina y el Caribe.</w:t>
      </w: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97AA0" w:rsidP="00217C55">
      <w:pPr>
        <w:spacing w:line="360" w:lineRule="auto"/>
        <w:jc w:val="both"/>
        <w:rPr>
          <w:rFonts w:ascii="Arial" w:hAnsi="Arial" w:cs="Arial"/>
          <w:b/>
        </w:rPr>
      </w:pPr>
    </w:p>
    <w:p w:rsidR="00197AA0" w:rsidRDefault="001D7573" w:rsidP="00217C55">
      <w:pPr>
        <w:spacing w:line="360" w:lineRule="auto"/>
        <w:jc w:val="both"/>
        <w:rPr>
          <w:rFonts w:ascii="Arial" w:hAnsi="Arial" w:cs="Arial"/>
          <w:b/>
        </w:rPr>
      </w:pPr>
      <w:r w:rsidRPr="001D7573">
        <w:rPr>
          <w:rFonts w:ascii="Arial" w:hAnsi="Arial" w:cs="Arial"/>
          <w:noProof/>
          <w:sz w:val="18"/>
          <w:szCs w:val="18"/>
        </w:rPr>
        <w:pict>
          <v:shape id="_x0000_s1193" type="#_x0000_t202" style="position:absolute;left:0;text-align:left;margin-left:194.6pt;margin-top:45.1pt;width:45pt;height:21pt;z-index:251823104;mso-height-percent:200;mso-height-percent:200;mso-width-relative:margin;mso-height-relative:margin" fillcolor="white [3212]" stroked="f">
            <v:textbox style="mso-next-textbox:#_x0000_s1193;mso-fit-shape-to-text:t">
              <w:txbxContent>
                <w:p w:rsidR="00AC7D7B" w:rsidRDefault="00AC7D7B" w:rsidP="007467DF">
                  <w:r>
                    <w:t>147</w:t>
                  </w:r>
                </w:p>
              </w:txbxContent>
            </v:textbox>
          </v:shape>
        </w:pict>
      </w:r>
    </w:p>
    <w:p w:rsidR="00197AA0" w:rsidRPr="005F780E" w:rsidRDefault="00197AA0" w:rsidP="00217C55">
      <w:pPr>
        <w:spacing w:line="360" w:lineRule="auto"/>
        <w:jc w:val="both"/>
        <w:rPr>
          <w:rFonts w:ascii="Arial" w:hAnsi="Arial" w:cs="Arial"/>
          <w:b/>
          <w:sz w:val="22"/>
          <w:szCs w:val="22"/>
        </w:rPr>
      </w:pPr>
      <w:r w:rsidRPr="005F780E">
        <w:rPr>
          <w:rFonts w:ascii="Arial" w:hAnsi="Arial" w:cs="Arial"/>
          <w:b/>
          <w:sz w:val="22"/>
          <w:szCs w:val="22"/>
        </w:rPr>
        <w:t>Anexo 3: Formato de Entrevistas</w:t>
      </w:r>
    </w:p>
    <w:p w:rsidR="00197AA0" w:rsidRPr="005F780E" w:rsidRDefault="00197AA0" w:rsidP="00217C55">
      <w:pPr>
        <w:spacing w:line="360" w:lineRule="auto"/>
        <w:jc w:val="both"/>
        <w:rPr>
          <w:rFonts w:ascii="Arial" w:hAnsi="Arial" w:cs="Arial"/>
          <w:b/>
          <w:sz w:val="22"/>
          <w:szCs w:val="22"/>
        </w:rPr>
      </w:pPr>
      <w:r w:rsidRPr="005F780E">
        <w:rPr>
          <w:rFonts w:ascii="Arial" w:hAnsi="Arial" w:cs="Arial"/>
          <w:b/>
          <w:sz w:val="22"/>
          <w:szCs w:val="22"/>
        </w:rPr>
        <w:t xml:space="preserve">3.1 </w:t>
      </w:r>
    </w:p>
    <w:p w:rsidR="00197AA0" w:rsidRPr="005F780E" w:rsidRDefault="00197AA0" w:rsidP="00217C55">
      <w:pPr>
        <w:spacing w:line="360" w:lineRule="auto"/>
        <w:jc w:val="both"/>
        <w:rPr>
          <w:rFonts w:ascii="Arial" w:hAnsi="Arial" w:cs="Arial"/>
          <w:sz w:val="22"/>
          <w:szCs w:val="22"/>
        </w:rPr>
      </w:pPr>
      <w:r w:rsidRPr="005F780E">
        <w:rPr>
          <w:rFonts w:ascii="Arial" w:hAnsi="Arial" w:cs="Arial"/>
          <w:b/>
          <w:sz w:val="22"/>
          <w:szCs w:val="22"/>
        </w:rPr>
        <w:t xml:space="preserve">Fecha: </w:t>
      </w:r>
      <w:r w:rsidRPr="005F780E">
        <w:rPr>
          <w:rFonts w:ascii="Arial" w:hAnsi="Arial" w:cs="Arial"/>
          <w:sz w:val="22"/>
          <w:szCs w:val="22"/>
        </w:rPr>
        <w:t>Miércoles 09 de junio de 2010</w:t>
      </w:r>
    </w:p>
    <w:p w:rsidR="00197AA0" w:rsidRPr="005F780E" w:rsidRDefault="00197AA0" w:rsidP="00217C55">
      <w:pPr>
        <w:spacing w:line="360" w:lineRule="auto"/>
        <w:jc w:val="both"/>
        <w:rPr>
          <w:rFonts w:ascii="Arial" w:hAnsi="Arial" w:cs="Arial"/>
          <w:sz w:val="22"/>
          <w:szCs w:val="22"/>
        </w:rPr>
      </w:pPr>
      <w:r w:rsidRPr="005F780E">
        <w:rPr>
          <w:rFonts w:ascii="Arial" w:hAnsi="Arial" w:cs="Arial"/>
          <w:b/>
          <w:sz w:val="22"/>
          <w:szCs w:val="22"/>
        </w:rPr>
        <w:t xml:space="preserve">Entrevista a: </w:t>
      </w:r>
      <w:r w:rsidRPr="005F780E">
        <w:rPr>
          <w:rFonts w:ascii="Arial" w:hAnsi="Arial" w:cs="Arial"/>
          <w:sz w:val="22"/>
          <w:szCs w:val="22"/>
        </w:rPr>
        <w:t>Dir. Ejecutivo Carlos Borja, Dir. Freddy Villalta, Ing. Oswaldo Ortiz</w:t>
      </w:r>
    </w:p>
    <w:p w:rsidR="00197AA0" w:rsidRPr="005F780E" w:rsidRDefault="00197AA0" w:rsidP="00217C55">
      <w:pPr>
        <w:spacing w:line="360" w:lineRule="auto"/>
        <w:jc w:val="both"/>
        <w:rPr>
          <w:rFonts w:ascii="Arial" w:hAnsi="Arial" w:cs="Arial"/>
          <w:sz w:val="22"/>
          <w:szCs w:val="22"/>
        </w:rPr>
      </w:pPr>
      <w:r w:rsidRPr="005F780E">
        <w:rPr>
          <w:rFonts w:ascii="Arial" w:hAnsi="Arial" w:cs="Arial"/>
          <w:b/>
          <w:sz w:val="22"/>
          <w:szCs w:val="22"/>
        </w:rPr>
        <w:t xml:space="preserve">Lugar: </w:t>
      </w:r>
      <w:r w:rsidRPr="005F780E">
        <w:rPr>
          <w:rFonts w:ascii="Arial" w:hAnsi="Arial" w:cs="Arial"/>
          <w:sz w:val="22"/>
          <w:szCs w:val="22"/>
        </w:rPr>
        <w:t>Autoridad Marítima Portuaria (AMP)</w:t>
      </w:r>
    </w:p>
    <w:p w:rsidR="00197AA0" w:rsidRPr="005F780E" w:rsidRDefault="00197AA0" w:rsidP="00217C55">
      <w:pPr>
        <w:spacing w:line="360" w:lineRule="auto"/>
        <w:jc w:val="both"/>
        <w:rPr>
          <w:rFonts w:ascii="Arial" w:hAnsi="Arial" w:cs="Arial"/>
          <w:sz w:val="22"/>
          <w:szCs w:val="22"/>
        </w:rPr>
      </w:pPr>
      <w:r w:rsidRPr="005F780E">
        <w:rPr>
          <w:rFonts w:ascii="Arial" w:hAnsi="Arial" w:cs="Arial"/>
          <w:b/>
          <w:sz w:val="22"/>
          <w:szCs w:val="22"/>
        </w:rPr>
        <w:t xml:space="preserve">Entrevistadores: </w:t>
      </w:r>
      <w:r w:rsidRPr="005F780E">
        <w:rPr>
          <w:rFonts w:ascii="Arial" w:hAnsi="Arial" w:cs="Arial"/>
          <w:sz w:val="22"/>
          <w:szCs w:val="22"/>
        </w:rPr>
        <w:t>Karla Nathalie Pérez Valencia, Aldo Salomón Mejía Martínez, Julio Alejandro Hernández Quijano.</w:t>
      </w:r>
    </w:p>
    <w:p w:rsidR="00197AA0" w:rsidRPr="005F780E" w:rsidRDefault="00197AA0" w:rsidP="00217C55">
      <w:pPr>
        <w:jc w:val="both"/>
        <w:rPr>
          <w:rFonts w:ascii="Arial" w:hAnsi="Arial" w:cs="Arial"/>
          <w:b/>
          <w:sz w:val="22"/>
          <w:szCs w:val="22"/>
        </w:rPr>
      </w:pP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t>¿Cuáles han sido los roles desempeñados por la AMP, CEPA, ESTADO, tanto en periodos anteriores como en la actualidad, frente al desarrollo portuario en la Unión?</w:t>
      </w: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t xml:space="preserve">¿Cuáles son las expectativas que se esperan en relación a la apertura y entrada en función  del Puerto La Unión?  </w:t>
      </w: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t>¿Cómo se encuentra actualmente El Salvador en materia de desarrollo portuario?</w:t>
      </w: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t>¿Con qué tipo de técnicas o conocimientos, cuentan ustedes como institución para hacerle frente a un desarrollo portuario?</w:t>
      </w: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t>¿Cuáles serán los procesos de selección para la contratación de personal especializado para el área de gestión de puertos?</w:t>
      </w: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t>¿Cuáles son las probabilidades de contaminación marina por hidrocar</w:t>
      </w:r>
      <w:r>
        <w:rPr>
          <w:rFonts w:ascii="Arial" w:hAnsi="Arial" w:cs="Arial"/>
        </w:rPr>
        <w:t>buros en la zona del Puerto de L</w:t>
      </w:r>
      <w:r w:rsidRPr="005F780E">
        <w:rPr>
          <w:rFonts w:ascii="Arial" w:hAnsi="Arial" w:cs="Arial"/>
        </w:rPr>
        <w:t>a Unión?</w:t>
      </w: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t>¿Qué tipo de medidas de seguridad deben cumplir los buques que transiten po</w:t>
      </w:r>
      <w:r>
        <w:rPr>
          <w:rFonts w:ascii="Arial" w:hAnsi="Arial" w:cs="Arial"/>
        </w:rPr>
        <w:t>r el Puerto de L</w:t>
      </w:r>
      <w:r w:rsidRPr="005F780E">
        <w:rPr>
          <w:rFonts w:ascii="Arial" w:hAnsi="Arial" w:cs="Arial"/>
        </w:rPr>
        <w:t>a Unión?</w:t>
      </w: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t>¿Se ha establecido un marco jurídico regulatorio que estipule normas a seguir para evitar posibles derrames y vertidos de hidrocarburos en la zona del Golfo de Fonseca?</w:t>
      </w: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lastRenderedPageBreak/>
        <w:t>¿Se considera necesaria la adhesión por parte de E Salvador, a los convenios tales como el SOLAS, MARPOL, FONDO?</w:t>
      </w:r>
    </w:p>
    <w:p w:rsidR="00197AA0" w:rsidRPr="005F780E" w:rsidRDefault="00197AA0" w:rsidP="00217C55">
      <w:pPr>
        <w:pStyle w:val="Prrafodelista"/>
        <w:numPr>
          <w:ilvl w:val="0"/>
          <w:numId w:val="30"/>
        </w:numPr>
        <w:spacing w:line="360" w:lineRule="auto"/>
        <w:jc w:val="both"/>
        <w:rPr>
          <w:rFonts w:ascii="Arial" w:hAnsi="Arial" w:cs="Arial"/>
        </w:rPr>
      </w:pPr>
      <w:r w:rsidRPr="005F780E">
        <w:rPr>
          <w:rFonts w:ascii="Arial" w:hAnsi="Arial" w:cs="Arial"/>
        </w:rPr>
        <w:t xml:space="preserve">¿Existe algún indicio de un fuerte candidato, para </w:t>
      </w:r>
      <w:r>
        <w:rPr>
          <w:rFonts w:ascii="Arial" w:hAnsi="Arial" w:cs="Arial"/>
        </w:rPr>
        <w:t>poder concesionar el Puerto de L</w:t>
      </w:r>
      <w:r w:rsidRPr="005F780E">
        <w:rPr>
          <w:rFonts w:ascii="Arial" w:hAnsi="Arial" w:cs="Arial"/>
        </w:rPr>
        <w:t>a Unión?</w:t>
      </w:r>
    </w:p>
    <w:p w:rsidR="00197AA0" w:rsidRDefault="00197AA0" w:rsidP="00217C55">
      <w:pPr>
        <w:jc w:val="both"/>
        <w:rPr>
          <w:rFonts w:ascii="Arial" w:hAnsi="Arial" w:cs="Arial"/>
        </w:rPr>
      </w:pPr>
    </w:p>
    <w:p w:rsidR="00197AA0" w:rsidRDefault="00197AA0" w:rsidP="00217C55">
      <w:pPr>
        <w:jc w:val="both"/>
        <w:rPr>
          <w:rFonts w:ascii="Arial" w:hAnsi="Arial" w:cs="Arial"/>
        </w:rPr>
      </w:pPr>
    </w:p>
    <w:p w:rsidR="00197AA0" w:rsidRDefault="00197AA0" w:rsidP="00217C55">
      <w:pPr>
        <w:jc w:val="both"/>
        <w:rPr>
          <w:rFonts w:ascii="Arial" w:hAnsi="Arial" w:cs="Arial"/>
        </w:rPr>
      </w:pPr>
    </w:p>
    <w:p w:rsidR="00197AA0" w:rsidRDefault="00197AA0" w:rsidP="00217C55">
      <w:pPr>
        <w:jc w:val="both"/>
        <w:rPr>
          <w:rFonts w:ascii="Arial" w:hAnsi="Arial" w:cs="Arial"/>
        </w:rPr>
      </w:pPr>
    </w:p>
    <w:p w:rsidR="00197AA0" w:rsidRDefault="00197AA0" w:rsidP="00217C55">
      <w:pPr>
        <w:jc w:val="both"/>
        <w:rPr>
          <w:rFonts w:ascii="Arial" w:hAnsi="Arial" w:cs="Arial"/>
        </w:rPr>
      </w:pPr>
    </w:p>
    <w:p w:rsidR="00197AA0" w:rsidRDefault="001D7573" w:rsidP="00217C55">
      <w:pPr>
        <w:jc w:val="both"/>
        <w:rPr>
          <w:rFonts w:ascii="Arial" w:hAnsi="Arial" w:cs="Arial"/>
        </w:rPr>
      </w:pPr>
      <w:r w:rsidRPr="001D7573">
        <w:rPr>
          <w:rFonts w:ascii="Arial" w:hAnsi="Arial" w:cs="Arial"/>
          <w:b/>
          <w:noProof/>
          <w:sz w:val="22"/>
          <w:szCs w:val="22"/>
        </w:rPr>
        <w:pict>
          <v:shape id="_x0000_s1196" type="#_x0000_t202" style="position:absolute;left:0;text-align:left;margin-left:185.75pt;margin-top:37.05pt;width:48.4pt;height:21pt;z-index:251826176;mso-height-percent:200;mso-height-percent:200;mso-width-relative:margin;mso-height-relative:margin" fillcolor="white [3212]" stroked="f">
            <v:textbox style="mso-next-textbox:#_x0000_s1196;mso-fit-shape-to-text:t">
              <w:txbxContent>
                <w:p w:rsidR="00AC7D7B" w:rsidRDefault="00AC7D7B" w:rsidP="007467DF">
                  <w:r>
                    <w:t>148</w:t>
                  </w:r>
                </w:p>
              </w:txbxContent>
            </v:textbox>
          </v:shape>
        </w:pict>
      </w:r>
    </w:p>
    <w:p w:rsidR="00197AA0" w:rsidRPr="00044A30" w:rsidRDefault="00197AA0" w:rsidP="00217C55">
      <w:pPr>
        <w:jc w:val="both"/>
        <w:rPr>
          <w:rFonts w:ascii="Arial" w:hAnsi="Arial" w:cs="Arial"/>
        </w:rPr>
      </w:pPr>
    </w:p>
    <w:p w:rsidR="00197AA0" w:rsidRPr="005F780E" w:rsidRDefault="00197AA0" w:rsidP="00217C55">
      <w:pPr>
        <w:jc w:val="both"/>
        <w:rPr>
          <w:rFonts w:ascii="Arial" w:hAnsi="Arial" w:cs="Arial"/>
          <w:b/>
          <w:sz w:val="22"/>
          <w:szCs w:val="22"/>
        </w:rPr>
      </w:pPr>
      <w:r w:rsidRPr="005F780E">
        <w:rPr>
          <w:rFonts w:ascii="Arial" w:hAnsi="Arial" w:cs="Arial"/>
          <w:b/>
          <w:sz w:val="22"/>
          <w:szCs w:val="22"/>
        </w:rPr>
        <w:t>3.2</w:t>
      </w:r>
    </w:p>
    <w:p w:rsidR="00197AA0" w:rsidRPr="005F780E" w:rsidRDefault="00197AA0" w:rsidP="00217C55">
      <w:pPr>
        <w:spacing w:line="360" w:lineRule="auto"/>
        <w:jc w:val="both"/>
        <w:rPr>
          <w:rFonts w:ascii="Arial" w:hAnsi="Arial" w:cs="Arial"/>
          <w:sz w:val="22"/>
          <w:szCs w:val="22"/>
        </w:rPr>
      </w:pPr>
      <w:r w:rsidRPr="005F780E">
        <w:rPr>
          <w:rFonts w:ascii="Arial" w:hAnsi="Arial" w:cs="Arial"/>
          <w:b/>
          <w:sz w:val="22"/>
          <w:szCs w:val="22"/>
        </w:rPr>
        <w:t xml:space="preserve">Fecha: </w:t>
      </w:r>
      <w:r w:rsidRPr="005F780E">
        <w:rPr>
          <w:rFonts w:ascii="Arial" w:hAnsi="Arial" w:cs="Arial"/>
          <w:sz w:val="22"/>
          <w:szCs w:val="22"/>
        </w:rPr>
        <w:t>Martes 06 de julio de 2010</w:t>
      </w:r>
    </w:p>
    <w:p w:rsidR="00197AA0" w:rsidRPr="005F780E" w:rsidRDefault="00197AA0" w:rsidP="00217C55">
      <w:pPr>
        <w:spacing w:line="360" w:lineRule="auto"/>
        <w:jc w:val="both"/>
        <w:rPr>
          <w:rFonts w:ascii="Arial" w:hAnsi="Arial" w:cs="Arial"/>
          <w:sz w:val="22"/>
          <w:szCs w:val="22"/>
        </w:rPr>
      </w:pPr>
      <w:r w:rsidRPr="005F780E">
        <w:rPr>
          <w:rFonts w:ascii="Arial" w:hAnsi="Arial" w:cs="Arial"/>
          <w:b/>
          <w:sz w:val="22"/>
          <w:szCs w:val="22"/>
        </w:rPr>
        <w:t xml:space="preserve">Entrevista a: </w:t>
      </w:r>
      <w:r w:rsidRPr="005F780E">
        <w:rPr>
          <w:rFonts w:ascii="Arial" w:hAnsi="Arial" w:cs="Arial"/>
          <w:sz w:val="22"/>
          <w:szCs w:val="22"/>
        </w:rPr>
        <w:t>Gerente del Puerto de La Unión, Ing. Milton Lacayo; Ing. Abelino Cruz.</w:t>
      </w:r>
    </w:p>
    <w:p w:rsidR="00197AA0" w:rsidRPr="005F780E" w:rsidRDefault="00197AA0" w:rsidP="00217C55">
      <w:pPr>
        <w:spacing w:line="360" w:lineRule="auto"/>
        <w:jc w:val="both"/>
        <w:rPr>
          <w:rFonts w:ascii="Arial" w:hAnsi="Arial" w:cs="Arial"/>
          <w:sz w:val="22"/>
          <w:szCs w:val="22"/>
        </w:rPr>
      </w:pPr>
      <w:r w:rsidRPr="005F780E">
        <w:rPr>
          <w:rFonts w:ascii="Arial" w:hAnsi="Arial" w:cs="Arial"/>
          <w:b/>
          <w:sz w:val="22"/>
          <w:szCs w:val="22"/>
        </w:rPr>
        <w:t xml:space="preserve">Lugar: </w:t>
      </w:r>
      <w:r w:rsidRPr="005F780E">
        <w:rPr>
          <w:rFonts w:ascii="Arial" w:hAnsi="Arial" w:cs="Arial"/>
          <w:sz w:val="22"/>
          <w:szCs w:val="22"/>
        </w:rPr>
        <w:t>La Unión, Puerto de La Unión.</w:t>
      </w:r>
    </w:p>
    <w:p w:rsidR="00197AA0" w:rsidRPr="005F780E" w:rsidRDefault="00197AA0" w:rsidP="00217C55">
      <w:pPr>
        <w:spacing w:line="360" w:lineRule="auto"/>
        <w:jc w:val="both"/>
        <w:rPr>
          <w:rFonts w:ascii="Arial" w:hAnsi="Arial" w:cs="Arial"/>
          <w:sz w:val="22"/>
          <w:szCs w:val="22"/>
        </w:rPr>
      </w:pPr>
      <w:r w:rsidRPr="005F780E">
        <w:rPr>
          <w:rFonts w:ascii="Arial" w:hAnsi="Arial" w:cs="Arial"/>
          <w:b/>
          <w:sz w:val="22"/>
          <w:szCs w:val="22"/>
        </w:rPr>
        <w:t xml:space="preserve">Entrevistadores: </w:t>
      </w:r>
      <w:r w:rsidRPr="005F780E">
        <w:rPr>
          <w:rFonts w:ascii="Arial" w:hAnsi="Arial" w:cs="Arial"/>
          <w:sz w:val="22"/>
          <w:szCs w:val="22"/>
        </w:rPr>
        <w:t>Karla Nathalie Pérez, Julio Alejandro Hernández Quijano.</w:t>
      </w:r>
    </w:p>
    <w:p w:rsidR="00197AA0" w:rsidRPr="005F780E" w:rsidRDefault="00197AA0" w:rsidP="00217C55">
      <w:pPr>
        <w:spacing w:line="360" w:lineRule="auto"/>
        <w:jc w:val="both"/>
        <w:rPr>
          <w:rFonts w:ascii="Arial" w:hAnsi="Arial" w:cs="Arial"/>
          <w:sz w:val="22"/>
          <w:szCs w:val="22"/>
        </w:rPr>
      </w:pPr>
    </w:p>
    <w:p w:rsidR="00197AA0" w:rsidRPr="005F780E" w:rsidRDefault="00197AA0" w:rsidP="00217C55">
      <w:pPr>
        <w:pStyle w:val="Prrafodelista"/>
        <w:numPr>
          <w:ilvl w:val="0"/>
          <w:numId w:val="29"/>
        </w:numPr>
        <w:spacing w:line="360" w:lineRule="auto"/>
        <w:jc w:val="both"/>
        <w:rPr>
          <w:rFonts w:ascii="Arial" w:hAnsi="Arial" w:cs="Arial"/>
        </w:rPr>
      </w:pPr>
      <w:r w:rsidRPr="005F780E">
        <w:rPr>
          <w:rFonts w:ascii="Arial" w:hAnsi="Arial" w:cs="Arial"/>
        </w:rPr>
        <w:t>¿En cuánto tiempo se espera que el Puerto de La Unión esté preparado para recibir buques  que carguen y traigan hidrocarburo?</w:t>
      </w:r>
    </w:p>
    <w:p w:rsidR="00197AA0" w:rsidRPr="005F780E" w:rsidRDefault="00197AA0" w:rsidP="00217C55">
      <w:pPr>
        <w:pStyle w:val="Prrafodelista"/>
        <w:numPr>
          <w:ilvl w:val="0"/>
          <w:numId w:val="29"/>
        </w:numPr>
        <w:spacing w:line="360" w:lineRule="auto"/>
        <w:jc w:val="both"/>
        <w:rPr>
          <w:rFonts w:ascii="Arial" w:hAnsi="Arial" w:cs="Arial"/>
        </w:rPr>
      </w:pPr>
      <w:r w:rsidRPr="005F780E">
        <w:rPr>
          <w:rFonts w:ascii="Arial" w:hAnsi="Arial" w:cs="Arial"/>
        </w:rPr>
        <w:t>¿Con que tipo de tecnología cuenta el Puerto de La Unión para hacer frente a un derrame por hidrocarburo?</w:t>
      </w:r>
    </w:p>
    <w:p w:rsidR="00197AA0" w:rsidRPr="005F780E" w:rsidRDefault="00197AA0" w:rsidP="00217C55">
      <w:pPr>
        <w:pStyle w:val="Prrafodelista"/>
        <w:numPr>
          <w:ilvl w:val="0"/>
          <w:numId w:val="29"/>
        </w:numPr>
        <w:spacing w:line="360" w:lineRule="auto"/>
        <w:jc w:val="both"/>
        <w:rPr>
          <w:rFonts w:ascii="Arial" w:hAnsi="Arial" w:cs="Arial"/>
        </w:rPr>
      </w:pPr>
      <w:r w:rsidRPr="00EE1318">
        <w:rPr>
          <w:rFonts w:ascii="Arial" w:hAnsi="Arial" w:cs="Arial"/>
        </w:rPr>
        <w:t>¿</w:t>
      </w:r>
      <w:r w:rsidRPr="005F780E">
        <w:rPr>
          <w:rFonts w:ascii="Arial" w:hAnsi="Arial" w:cs="Arial"/>
        </w:rPr>
        <w:t>Con que tipo de tuberías o canales de desagüe d</w:t>
      </w:r>
      <w:r>
        <w:rPr>
          <w:rFonts w:ascii="Arial" w:hAnsi="Arial" w:cs="Arial"/>
        </w:rPr>
        <w:t>e desechos cuenta el Puerto de L</w:t>
      </w:r>
      <w:r w:rsidRPr="005F780E">
        <w:rPr>
          <w:rFonts w:ascii="Arial" w:hAnsi="Arial" w:cs="Arial"/>
        </w:rPr>
        <w:t>a Unión?</w:t>
      </w:r>
    </w:p>
    <w:p w:rsidR="00197AA0" w:rsidRPr="005F780E" w:rsidRDefault="00197AA0" w:rsidP="00217C55">
      <w:pPr>
        <w:pStyle w:val="Prrafodelista"/>
        <w:numPr>
          <w:ilvl w:val="0"/>
          <w:numId w:val="29"/>
        </w:numPr>
        <w:spacing w:line="360" w:lineRule="auto"/>
        <w:jc w:val="both"/>
        <w:rPr>
          <w:rFonts w:ascii="Arial" w:hAnsi="Arial" w:cs="Arial"/>
        </w:rPr>
      </w:pPr>
      <w:r w:rsidRPr="005F780E">
        <w:rPr>
          <w:rFonts w:ascii="Arial" w:hAnsi="Arial" w:cs="Arial"/>
        </w:rPr>
        <w:t>¿Cuenta el Puerto de La Unión con un equipo especializado en materia de contaminación marina por hidrocarburo para hacerle frente a un desastre de esta naturaleza?</w:t>
      </w:r>
    </w:p>
    <w:p w:rsidR="00197AA0" w:rsidRPr="005F780E" w:rsidRDefault="00197AA0" w:rsidP="00217C55">
      <w:pPr>
        <w:pStyle w:val="Prrafodelista"/>
        <w:numPr>
          <w:ilvl w:val="0"/>
          <w:numId w:val="29"/>
        </w:numPr>
        <w:spacing w:line="360" w:lineRule="auto"/>
        <w:jc w:val="both"/>
        <w:rPr>
          <w:rFonts w:ascii="Arial" w:hAnsi="Arial" w:cs="Arial"/>
        </w:rPr>
      </w:pPr>
      <w:r w:rsidRPr="005F780E">
        <w:rPr>
          <w:rFonts w:ascii="Arial" w:hAnsi="Arial" w:cs="Arial"/>
        </w:rPr>
        <w:t>¿Qué parte del presupuesto está destinado para la contaminación marina por hidrocarburo?</w:t>
      </w:r>
    </w:p>
    <w:p w:rsidR="00197AA0" w:rsidRPr="005F780E" w:rsidRDefault="00197AA0" w:rsidP="00217C55">
      <w:pPr>
        <w:pStyle w:val="Prrafodelista"/>
        <w:numPr>
          <w:ilvl w:val="0"/>
          <w:numId w:val="29"/>
        </w:numPr>
        <w:spacing w:line="360" w:lineRule="auto"/>
        <w:jc w:val="both"/>
        <w:rPr>
          <w:rFonts w:ascii="Arial" w:hAnsi="Arial" w:cs="Arial"/>
        </w:rPr>
      </w:pPr>
      <w:r w:rsidRPr="005F780E">
        <w:rPr>
          <w:rFonts w:ascii="Arial" w:hAnsi="Arial" w:cs="Arial"/>
        </w:rPr>
        <w:t>¿Qué tipo de medidas o requisitos se les pedirá a los buques que</w:t>
      </w:r>
      <w:r>
        <w:rPr>
          <w:rFonts w:ascii="Arial" w:hAnsi="Arial" w:cs="Arial"/>
        </w:rPr>
        <w:t xml:space="preserve"> deseen atracar al Puerto de L</w:t>
      </w:r>
      <w:r w:rsidRPr="005F780E">
        <w:rPr>
          <w:rFonts w:ascii="Arial" w:hAnsi="Arial" w:cs="Arial"/>
        </w:rPr>
        <w:t>a Unión?</w:t>
      </w:r>
    </w:p>
    <w:p w:rsidR="00197AA0" w:rsidRPr="005F780E" w:rsidRDefault="00197AA0" w:rsidP="00217C55">
      <w:pPr>
        <w:pStyle w:val="Prrafodelista"/>
        <w:numPr>
          <w:ilvl w:val="0"/>
          <w:numId w:val="29"/>
        </w:numPr>
        <w:spacing w:line="360" w:lineRule="auto"/>
        <w:jc w:val="both"/>
        <w:rPr>
          <w:rFonts w:ascii="Arial" w:hAnsi="Arial" w:cs="Arial"/>
        </w:rPr>
      </w:pPr>
      <w:r w:rsidRPr="005F780E">
        <w:rPr>
          <w:rFonts w:ascii="Arial" w:hAnsi="Arial" w:cs="Arial"/>
        </w:rPr>
        <w:t>¿Cuenta el Puerto con la infraestructura adecuada para promover un verdadero desarrollo portuario?</w:t>
      </w:r>
    </w:p>
    <w:p w:rsidR="00197AA0" w:rsidRPr="005F780E" w:rsidRDefault="00197AA0" w:rsidP="00217C55">
      <w:pPr>
        <w:pStyle w:val="Prrafodelista"/>
        <w:numPr>
          <w:ilvl w:val="0"/>
          <w:numId w:val="29"/>
        </w:numPr>
        <w:spacing w:line="360" w:lineRule="auto"/>
        <w:jc w:val="both"/>
        <w:rPr>
          <w:rFonts w:ascii="Arial" w:hAnsi="Arial" w:cs="Arial"/>
        </w:rPr>
      </w:pPr>
      <w:r w:rsidRPr="005F780E">
        <w:rPr>
          <w:rFonts w:ascii="Arial" w:hAnsi="Arial" w:cs="Arial"/>
        </w:rPr>
        <w:t>¿Qué tiene de novedoso el Puerto de La Unión en comparación con el Puerto de Acajutla?</w:t>
      </w:r>
    </w:p>
    <w:p w:rsidR="00197AA0" w:rsidRPr="005F780E" w:rsidRDefault="00197AA0" w:rsidP="00217C55">
      <w:pPr>
        <w:pStyle w:val="Prrafodelista"/>
        <w:numPr>
          <w:ilvl w:val="0"/>
          <w:numId w:val="29"/>
        </w:numPr>
        <w:spacing w:line="360" w:lineRule="auto"/>
        <w:jc w:val="both"/>
        <w:rPr>
          <w:rFonts w:ascii="Arial" w:hAnsi="Arial" w:cs="Arial"/>
        </w:rPr>
      </w:pPr>
      <w:r w:rsidRPr="005F780E">
        <w:rPr>
          <w:rFonts w:ascii="Arial" w:hAnsi="Arial" w:cs="Arial"/>
        </w:rPr>
        <w:t xml:space="preserve">¿Considera usted que frente a la actual situación de delincuencia en El Salvador, se afectará el clima de inversión en el Puerto de La Unión? </w:t>
      </w:r>
    </w:p>
    <w:p w:rsidR="00197AA0" w:rsidRPr="005F780E" w:rsidRDefault="00197AA0" w:rsidP="00217C55">
      <w:pPr>
        <w:pStyle w:val="Prrafodelista"/>
        <w:numPr>
          <w:ilvl w:val="0"/>
          <w:numId w:val="29"/>
        </w:numPr>
        <w:spacing w:line="360" w:lineRule="auto"/>
        <w:jc w:val="both"/>
        <w:rPr>
          <w:rFonts w:ascii="Arial" w:hAnsi="Arial" w:cs="Arial"/>
        </w:rPr>
      </w:pPr>
      <w:r w:rsidRPr="005F780E">
        <w:rPr>
          <w:rFonts w:ascii="Arial" w:hAnsi="Arial" w:cs="Arial"/>
        </w:rPr>
        <w:lastRenderedPageBreak/>
        <w:t>¿Qué tipo de concesión considera usted la más adecuada para aplicarse en el Puerto de La Unión?</w:t>
      </w:r>
    </w:p>
    <w:p w:rsidR="00197AA0" w:rsidRPr="005F780E" w:rsidRDefault="00197AA0" w:rsidP="00217C55">
      <w:pPr>
        <w:spacing w:line="360" w:lineRule="auto"/>
        <w:jc w:val="both"/>
        <w:rPr>
          <w:rFonts w:ascii="Arial" w:hAnsi="Arial" w:cs="Arial"/>
          <w:sz w:val="22"/>
          <w:szCs w:val="22"/>
        </w:rPr>
      </w:pPr>
    </w:p>
    <w:p w:rsidR="00197AA0" w:rsidRPr="005F780E" w:rsidRDefault="00197AA0" w:rsidP="00217C55">
      <w:pPr>
        <w:spacing w:line="360" w:lineRule="auto"/>
        <w:jc w:val="both"/>
        <w:rPr>
          <w:rFonts w:ascii="Arial" w:hAnsi="Arial" w:cs="Arial"/>
          <w:sz w:val="22"/>
          <w:szCs w:val="22"/>
        </w:rPr>
      </w:pPr>
    </w:p>
    <w:p w:rsidR="00197AA0" w:rsidRDefault="00197AA0" w:rsidP="00217C55">
      <w:pPr>
        <w:jc w:val="both"/>
        <w:rPr>
          <w:sz w:val="22"/>
          <w:szCs w:val="22"/>
        </w:rPr>
      </w:pPr>
    </w:p>
    <w:p w:rsidR="00197AA0" w:rsidRDefault="00197AA0" w:rsidP="00217C55">
      <w:pPr>
        <w:jc w:val="both"/>
        <w:rPr>
          <w:sz w:val="22"/>
          <w:szCs w:val="22"/>
        </w:rPr>
      </w:pPr>
    </w:p>
    <w:p w:rsidR="00197AA0" w:rsidRDefault="00197AA0" w:rsidP="00217C55">
      <w:pPr>
        <w:jc w:val="both"/>
        <w:rPr>
          <w:sz w:val="22"/>
          <w:szCs w:val="22"/>
        </w:rPr>
      </w:pPr>
    </w:p>
    <w:p w:rsidR="00197AA0" w:rsidRDefault="00197AA0" w:rsidP="00217C55">
      <w:pPr>
        <w:jc w:val="both"/>
        <w:rPr>
          <w:sz w:val="22"/>
          <w:szCs w:val="22"/>
        </w:rPr>
      </w:pPr>
    </w:p>
    <w:p w:rsidR="00197AA0" w:rsidRDefault="00197AA0" w:rsidP="00217C55">
      <w:pPr>
        <w:jc w:val="both"/>
        <w:rPr>
          <w:sz w:val="22"/>
          <w:szCs w:val="22"/>
        </w:rPr>
      </w:pPr>
    </w:p>
    <w:p w:rsidR="00197AA0" w:rsidRPr="005F780E" w:rsidRDefault="001D7573" w:rsidP="00217C55">
      <w:pPr>
        <w:jc w:val="both"/>
        <w:rPr>
          <w:sz w:val="22"/>
          <w:szCs w:val="22"/>
        </w:rPr>
      </w:pPr>
      <w:r w:rsidRPr="001D7573">
        <w:rPr>
          <w:rFonts w:ascii="Arial" w:hAnsi="Arial" w:cs="Arial"/>
          <w:b/>
          <w:noProof/>
          <w:sz w:val="22"/>
          <w:szCs w:val="22"/>
        </w:rPr>
        <w:pict>
          <v:shape id="_x0000_s1195" type="#_x0000_t202" style="position:absolute;left:0;text-align:left;margin-left:220.9pt;margin-top:37.4pt;width:45pt;height:21pt;z-index:251825152;mso-height-percent:200;mso-height-percent:200;mso-width-relative:margin;mso-height-relative:margin" fillcolor="white [3212]" stroked="f">
            <v:textbox style="mso-next-textbox:#_x0000_s1195;mso-fit-shape-to-text:t">
              <w:txbxContent>
                <w:p w:rsidR="00AC7D7B" w:rsidRDefault="00AC7D7B" w:rsidP="007467DF">
                  <w:r>
                    <w:t>149</w:t>
                  </w:r>
                </w:p>
              </w:txbxContent>
            </v:textbox>
          </v:shape>
        </w:pict>
      </w:r>
    </w:p>
    <w:p w:rsidR="00197AA0" w:rsidRDefault="00197AA0" w:rsidP="00217C55">
      <w:pPr>
        <w:jc w:val="both"/>
        <w:rPr>
          <w:rFonts w:ascii="Arial" w:hAnsi="Arial" w:cs="Arial"/>
          <w:b/>
          <w:sz w:val="22"/>
          <w:szCs w:val="22"/>
        </w:rPr>
      </w:pPr>
      <w:r w:rsidRPr="005F780E">
        <w:rPr>
          <w:rFonts w:ascii="Arial" w:hAnsi="Arial" w:cs="Arial"/>
          <w:b/>
          <w:sz w:val="22"/>
          <w:szCs w:val="22"/>
        </w:rPr>
        <w:t>Anexo 4: Instalaciones del Puerto de La Unión</w:t>
      </w:r>
    </w:p>
    <w:p w:rsidR="00197AA0" w:rsidRPr="005F780E" w:rsidRDefault="00197AA0" w:rsidP="00217C55">
      <w:pPr>
        <w:jc w:val="both"/>
        <w:rPr>
          <w:rFonts w:ascii="Arial" w:hAnsi="Arial" w:cs="Arial"/>
          <w:sz w:val="22"/>
          <w:szCs w:val="22"/>
        </w:rPr>
      </w:pPr>
    </w:p>
    <w:p w:rsidR="00197AA0" w:rsidRDefault="00197AA0" w:rsidP="00217C55">
      <w:pPr>
        <w:jc w:val="both"/>
        <w:rPr>
          <w:rFonts w:ascii="Arial" w:hAnsi="Arial" w:cs="Arial"/>
          <w:b/>
          <w:sz w:val="22"/>
          <w:szCs w:val="22"/>
        </w:rPr>
      </w:pPr>
      <w:r w:rsidRPr="005F780E">
        <w:rPr>
          <w:rFonts w:ascii="Arial" w:hAnsi="Arial" w:cs="Arial"/>
          <w:b/>
          <w:sz w:val="22"/>
          <w:szCs w:val="22"/>
        </w:rPr>
        <w:t>4.1 Edificio Administrativo Central del Puerto de La Unión</w:t>
      </w:r>
    </w:p>
    <w:p w:rsidR="00197AA0" w:rsidRPr="005F780E" w:rsidRDefault="00197AA0" w:rsidP="00217C55">
      <w:pPr>
        <w:jc w:val="both"/>
        <w:rPr>
          <w:rFonts w:ascii="Arial" w:hAnsi="Arial" w:cs="Arial"/>
          <w:b/>
          <w:sz w:val="22"/>
          <w:szCs w:val="22"/>
        </w:rPr>
      </w:pPr>
    </w:p>
    <w:p w:rsidR="00197AA0" w:rsidRPr="002E0C89" w:rsidRDefault="007C6B79" w:rsidP="00217C55">
      <w:pPr>
        <w:jc w:val="both"/>
        <w:rPr>
          <w:rFonts w:ascii="Arial" w:hAnsi="Arial" w:cs="Arial"/>
        </w:rPr>
      </w:pPr>
      <w:r>
        <w:rPr>
          <w:rFonts w:ascii="Arial" w:hAnsi="Arial" w:cs="Arial"/>
          <w:noProof/>
        </w:rPr>
        <w:drawing>
          <wp:inline distT="0" distB="0" distL="0" distR="0">
            <wp:extent cx="4933950" cy="3600450"/>
            <wp:effectExtent l="19050" t="0" r="0" b="0"/>
            <wp:docPr id="9"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80"/>
                    <a:srcRect/>
                    <a:stretch>
                      <a:fillRect/>
                    </a:stretch>
                  </pic:blipFill>
                  <pic:spPr bwMode="auto">
                    <a:xfrm>
                      <a:off x="0" y="0"/>
                      <a:ext cx="4933950" cy="3600450"/>
                    </a:xfrm>
                    <a:prstGeom prst="rect">
                      <a:avLst/>
                    </a:prstGeom>
                    <a:noFill/>
                    <a:ln w="9525">
                      <a:noFill/>
                      <a:miter lim="800000"/>
                      <a:headEnd/>
                      <a:tailEnd/>
                    </a:ln>
                  </pic:spPr>
                </pic:pic>
              </a:graphicData>
            </a:graphic>
          </wp:inline>
        </w:drawing>
      </w:r>
    </w:p>
    <w:p w:rsidR="00197AA0" w:rsidRDefault="00197AA0" w:rsidP="00217C55">
      <w:pPr>
        <w:jc w:val="both"/>
      </w:pPr>
    </w:p>
    <w:p w:rsidR="00197AA0" w:rsidRDefault="007C6B79" w:rsidP="00217C55">
      <w:pPr>
        <w:jc w:val="both"/>
      </w:pPr>
      <w:r>
        <w:rPr>
          <w:noProof/>
        </w:rPr>
        <w:lastRenderedPageBreak/>
        <w:drawing>
          <wp:inline distT="0" distB="0" distL="0" distR="0">
            <wp:extent cx="4886325" cy="3114675"/>
            <wp:effectExtent l="19050" t="0" r="9525" b="0"/>
            <wp:docPr id="1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81"/>
                    <a:srcRect/>
                    <a:stretch>
                      <a:fillRect/>
                    </a:stretch>
                  </pic:blipFill>
                  <pic:spPr bwMode="auto">
                    <a:xfrm>
                      <a:off x="0" y="0"/>
                      <a:ext cx="4886325" cy="3114675"/>
                    </a:xfrm>
                    <a:prstGeom prst="rect">
                      <a:avLst/>
                    </a:prstGeom>
                    <a:noFill/>
                    <a:ln w="9525">
                      <a:noFill/>
                      <a:miter lim="800000"/>
                      <a:headEnd/>
                      <a:tailEnd/>
                    </a:ln>
                  </pic:spPr>
                </pic:pic>
              </a:graphicData>
            </a:graphic>
          </wp:inline>
        </w:drawing>
      </w:r>
    </w:p>
    <w:p w:rsidR="00197AA0" w:rsidRDefault="00197AA0" w:rsidP="00217C55">
      <w:pPr>
        <w:jc w:val="both"/>
        <w:rPr>
          <w:rFonts w:ascii="Arial" w:hAnsi="Arial" w:cs="Arial"/>
          <w:b/>
        </w:rPr>
      </w:pPr>
    </w:p>
    <w:p w:rsidR="00197AA0" w:rsidRDefault="00197AA0" w:rsidP="00217C55">
      <w:pPr>
        <w:jc w:val="both"/>
        <w:rPr>
          <w:rFonts w:ascii="Arial" w:hAnsi="Arial" w:cs="Arial"/>
          <w:b/>
          <w:sz w:val="22"/>
          <w:szCs w:val="22"/>
        </w:rPr>
      </w:pPr>
    </w:p>
    <w:p w:rsidR="00197AA0" w:rsidRDefault="00197AA0" w:rsidP="00217C55">
      <w:pPr>
        <w:jc w:val="both"/>
        <w:rPr>
          <w:rFonts w:ascii="Arial" w:hAnsi="Arial" w:cs="Arial"/>
          <w:b/>
          <w:sz w:val="22"/>
          <w:szCs w:val="22"/>
        </w:rPr>
      </w:pPr>
    </w:p>
    <w:p w:rsidR="00197AA0" w:rsidRDefault="001D7573" w:rsidP="00217C55">
      <w:pPr>
        <w:jc w:val="both"/>
        <w:rPr>
          <w:rFonts w:ascii="Arial" w:hAnsi="Arial" w:cs="Arial"/>
          <w:b/>
          <w:sz w:val="22"/>
          <w:szCs w:val="22"/>
        </w:rPr>
      </w:pPr>
      <w:r>
        <w:rPr>
          <w:rFonts w:ascii="Arial" w:hAnsi="Arial" w:cs="Arial"/>
          <w:b/>
          <w:noProof/>
          <w:sz w:val="22"/>
          <w:szCs w:val="22"/>
        </w:rPr>
        <w:pict>
          <v:shape id="_x0000_s1198" type="#_x0000_t202" style="position:absolute;left:0;text-align:left;margin-left:185.9pt;margin-top:39.1pt;width:48.4pt;height:21pt;z-index:251828224;mso-height-percent:200;mso-height-percent:200;mso-width-relative:margin;mso-height-relative:margin" fillcolor="white [3212]" stroked="f">
            <v:textbox style="mso-next-textbox:#_x0000_s1198;mso-fit-shape-to-text:t">
              <w:txbxContent>
                <w:p w:rsidR="00AC7D7B" w:rsidRDefault="00AC7D7B" w:rsidP="007467DF">
                  <w:r>
                    <w:t>150</w:t>
                  </w:r>
                </w:p>
              </w:txbxContent>
            </v:textbox>
          </v:shape>
        </w:pict>
      </w:r>
    </w:p>
    <w:p w:rsidR="00197AA0" w:rsidRDefault="00197AA0" w:rsidP="00217C55">
      <w:pPr>
        <w:jc w:val="both"/>
        <w:rPr>
          <w:rFonts w:ascii="Arial" w:hAnsi="Arial" w:cs="Arial"/>
          <w:b/>
          <w:sz w:val="22"/>
          <w:szCs w:val="22"/>
        </w:rPr>
      </w:pPr>
      <w:r w:rsidRPr="005F780E">
        <w:rPr>
          <w:rFonts w:ascii="Arial" w:hAnsi="Arial" w:cs="Arial"/>
          <w:b/>
          <w:sz w:val="22"/>
          <w:szCs w:val="22"/>
        </w:rPr>
        <w:t>4.2 Grúas RTG en la terminal portuaria</w:t>
      </w:r>
    </w:p>
    <w:p w:rsidR="00197AA0" w:rsidRPr="005F780E" w:rsidRDefault="00197AA0" w:rsidP="00217C55">
      <w:pPr>
        <w:jc w:val="both"/>
        <w:rPr>
          <w:rFonts w:ascii="Arial" w:hAnsi="Arial" w:cs="Arial"/>
          <w:b/>
          <w:sz w:val="22"/>
          <w:szCs w:val="22"/>
        </w:rPr>
      </w:pPr>
    </w:p>
    <w:p w:rsidR="00197AA0" w:rsidRDefault="007C6B79" w:rsidP="00217C55">
      <w:pPr>
        <w:jc w:val="both"/>
        <w:rPr>
          <w:rFonts w:ascii="Arial" w:hAnsi="Arial" w:cs="Arial"/>
          <w:b/>
          <w:noProof/>
          <w:lang w:val="es-ES_tradnl" w:eastAsia="es-ES_tradnl"/>
        </w:rPr>
      </w:pPr>
      <w:r>
        <w:rPr>
          <w:rFonts w:ascii="Arial" w:hAnsi="Arial" w:cs="Arial"/>
          <w:b/>
          <w:noProof/>
        </w:rPr>
        <w:drawing>
          <wp:inline distT="0" distB="0" distL="0" distR="0">
            <wp:extent cx="4886325" cy="3743325"/>
            <wp:effectExtent l="19050" t="0" r="9525" b="0"/>
            <wp:docPr id="11"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82"/>
                    <a:srcRect/>
                    <a:stretch>
                      <a:fillRect/>
                    </a:stretch>
                  </pic:blipFill>
                  <pic:spPr bwMode="auto">
                    <a:xfrm>
                      <a:off x="0" y="0"/>
                      <a:ext cx="4886325" cy="3743325"/>
                    </a:xfrm>
                    <a:prstGeom prst="rect">
                      <a:avLst/>
                    </a:prstGeom>
                    <a:noFill/>
                    <a:ln w="9525">
                      <a:noFill/>
                      <a:miter lim="800000"/>
                      <a:headEnd/>
                      <a:tailEnd/>
                    </a:ln>
                  </pic:spPr>
                </pic:pic>
              </a:graphicData>
            </a:graphic>
          </wp:inline>
        </w:drawing>
      </w: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7C6B79" w:rsidP="00217C55">
      <w:pPr>
        <w:jc w:val="both"/>
        <w:rPr>
          <w:rFonts w:ascii="Arial" w:hAnsi="Arial" w:cs="Arial"/>
          <w:b/>
        </w:rPr>
      </w:pPr>
      <w:r>
        <w:rPr>
          <w:rFonts w:ascii="Arial" w:hAnsi="Arial" w:cs="Arial"/>
          <w:b/>
          <w:noProof/>
        </w:rPr>
        <w:lastRenderedPageBreak/>
        <w:drawing>
          <wp:inline distT="0" distB="0" distL="0" distR="0">
            <wp:extent cx="4914900" cy="3629025"/>
            <wp:effectExtent l="19050" t="0" r="0" b="0"/>
            <wp:docPr id="1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83"/>
                    <a:srcRect/>
                    <a:stretch>
                      <a:fillRect/>
                    </a:stretch>
                  </pic:blipFill>
                  <pic:spPr bwMode="auto">
                    <a:xfrm>
                      <a:off x="0" y="0"/>
                      <a:ext cx="4914900" cy="3629025"/>
                    </a:xfrm>
                    <a:prstGeom prst="rect">
                      <a:avLst/>
                    </a:prstGeom>
                    <a:noFill/>
                    <a:ln w="9525">
                      <a:noFill/>
                      <a:miter lim="800000"/>
                      <a:headEnd/>
                      <a:tailEnd/>
                    </a:ln>
                  </pic:spPr>
                </pic:pic>
              </a:graphicData>
            </a:graphic>
          </wp:inline>
        </w:drawing>
      </w:r>
    </w:p>
    <w:p w:rsidR="00197AA0" w:rsidRDefault="001D7573" w:rsidP="00217C55">
      <w:pPr>
        <w:jc w:val="both"/>
        <w:rPr>
          <w:rFonts w:ascii="Arial" w:hAnsi="Arial" w:cs="Arial"/>
          <w:b/>
        </w:rPr>
      </w:pPr>
      <w:r w:rsidRPr="001D7573">
        <w:rPr>
          <w:rFonts w:ascii="Arial" w:hAnsi="Arial" w:cs="Arial"/>
          <w:b/>
          <w:noProof/>
          <w:sz w:val="22"/>
          <w:szCs w:val="22"/>
        </w:rPr>
        <w:pict>
          <v:shape id="_x0000_s1197" type="#_x0000_t202" style="position:absolute;left:0;text-align:left;margin-left:196.35pt;margin-top:34.95pt;width:45pt;height:21pt;z-index:251827200;mso-height-percent:200;mso-height-percent:200;mso-width-relative:margin;mso-height-relative:margin" fillcolor="white [3212]" stroked="f">
            <v:textbox style="mso-next-textbox:#_x0000_s1197;mso-fit-shape-to-text:t">
              <w:txbxContent>
                <w:p w:rsidR="00AC7D7B" w:rsidRDefault="00AC7D7B" w:rsidP="007467DF">
                  <w:r>
                    <w:t>151</w:t>
                  </w:r>
                </w:p>
              </w:txbxContent>
            </v:textbox>
          </v:shape>
        </w:pict>
      </w:r>
    </w:p>
    <w:p w:rsidR="00197AA0" w:rsidRDefault="00197AA0" w:rsidP="00217C55">
      <w:pPr>
        <w:jc w:val="both"/>
        <w:rPr>
          <w:rFonts w:ascii="Arial" w:hAnsi="Arial" w:cs="Arial"/>
          <w:b/>
          <w:sz w:val="22"/>
          <w:szCs w:val="22"/>
        </w:rPr>
      </w:pPr>
      <w:r w:rsidRPr="005F780E">
        <w:rPr>
          <w:rFonts w:ascii="Arial" w:hAnsi="Arial" w:cs="Arial"/>
          <w:b/>
          <w:sz w:val="22"/>
          <w:szCs w:val="22"/>
        </w:rPr>
        <w:t>4.3 Maqueta diseñada para el proyecto de desarrollo p</w:t>
      </w:r>
      <w:r>
        <w:rPr>
          <w:rFonts w:ascii="Arial" w:hAnsi="Arial" w:cs="Arial"/>
          <w:b/>
          <w:sz w:val="22"/>
          <w:szCs w:val="22"/>
        </w:rPr>
        <w:t>ortuario en el departamento de L</w:t>
      </w:r>
      <w:r w:rsidRPr="005F780E">
        <w:rPr>
          <w:rFonts w:ascii="Arial" w:hAnsi="Arial" w:cs="Arial"/>
          <w:b/>
          <w:sz w:val="22"/>
          <w:szCs w:val="22"/>
        </w:rPr>
        <w:t>a Unión</w:t>
      </w:r>
    </w:p>
    <w:p w:rsidR="00197AA0" w:rsidRPr="005F780E" w:rsidRDefault="00197AA0" w:rsidP="00217C55">
      <w:pPr>
        <w:jc w:val="both"/>
        <w:rPr>
          <w:rFonts w:ascii="Arial" w:hAnsi="Arial" w:cs="Arial"/>
          <w:b/>
          <w:sz w:val="22"/>
          <w:szCs w:val="22"/>
        </w:rPr>
      </w:pPr>
    </w:p>
    <w:p w:rsidR="00197AA0" w:rsidRDefault="007C6B79" w:rsidP="00217C55">
      <w:pPr>
        <w:jc w:val="both"/>
        <w:rPr>
          <w:rFonts w:ascii="Arial" w:hAnsi="Arial" w:cs="Arial"/>
          <w:b/>
          <w:noProof/>
          <w:lang w:val="es-ES_tradnl" w:eastAsia="es-ES_tradnl"/>
        </w:rPr>
      </w:pPr>
      <w:r>
        <w:rPr>
          <w:rFonts w:ascii="Arial" w:hAnsi="Arial" w:cs="Arial"/>
          <w:b/>
          <w:noProof/>
        </w:rPr>
        <w:drawing>
          <wp:inline distT="0" distB="0" distL="0" distR="0">
            <wp:extent cx="4791075" cy="3638550"/>
            <wp:effectExtent l="19050" t="0" r="9525" b="0"/>
            <wp:docPr id="1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84"/>
                    <a:srcRect/>
                    <a:stretch>
                      <a:fillRect/>
                    </a:stretch>
                  </pic:blipFill>
                  <pic:spPr bwMode="auto">
                    <a:xfrm>
                      <a:off x="0" y="0"/>
                      <a:ext cx="4791075" cy="3638550"/>
                    </a:xfrm>
                    <a:prstGeom prst="rect">
                      <a:avLst/>
                    </a:prstGeom>
                    <a:noFill/>
                    <a:ln w="9525">
                      <a:noFill/>
                      <a:miter lim="800000"/>
                      <a:headEnd/>
                      <a:tailEnd/>
                    </a:ln>
                  </pic:spPr>
                </pic:pic>
              </a:graphicData>
            </a:graphic>
          </wp:inline>
        </w:drawing>
      </w:r>
    </w:p>
    <w:p w:rsidR="00197AA0" w:rsidRDefault="00197AA0" w:rsidP="00217C55">
      <w:pPr>
        <w:jc w:val="both"/>
        <w:rPr>
          <w:rFonts w:ascii="Arial" w:hAnsi="Arial" w:cs="Arial"/>
          <w:b/>
        </w:rPr>
      </w:pPr>
    </w:p>
    <w:p w:rsidR="00197AA0" w:rsidRDefault="00197AA0" w:rsidP="00217C55">
      <w:pPr>
        <w:jc w:val="both"/>
        <w:rPr>
          <w:rFonts w:ascii="Arial" w:hAnsi="Arial" w:cs="Arial"/>
          <w:b/>
        </w:rPr>
      </w:pPr>
    </w:p>
    <w:p w:rsidR="00197AA0" w:rsidRDefault="007C6B79" w:rsidP="00217C55">
      <w:pPr>
        <w:jc w:val="both"/>
        <w:rPr>
          <w:rFonts w:ascii="Arial" w:hAnsi="Arial" w:cs="Arial"/>
          <w:b/>
        </w:rPr>
      </w:pPr>
      <w:r>
        <w:rPr>
          <w:rFonts w:ascii="Arial" w:hAnsi="Arial" w:cs="Arial"/>
          <w:b/>
          <w:noProof/>
        </w:rPr>
        <w:drawing>
          <wp:inline distT="0" distB="0" distL="0" distR="0">
            <wp:extent cx="4810125" cy="3581400"/>
            <wp:effectExtent l="19050" t="0" r="9525" b="0"/>
            <wp:docPr id="14"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85"/>
                    <a:srcRect/>
                    <a:stretch>
                      <a:fillRect/>
                    </a:stretch>
                  </pic:blipFill>
                  <pic:spPr bwMode="auto">
                    <a:xfrm>
                      <a:off x="0" y="0"/>
                      <a:ext cx="4810125" cy="3581400"/>
                    </a:xfrm>
                    <a:prstGeom prst="rect">
                      <a:avLst/>
                    </a:prstGeom>
                    <a:noFill/>
                    <a:ln w="9525">
                      <a:noFill/>
                      <a:miter lim="800000"/>
                      <a:headEnd/>
                      <a:tailEnd/>
                    </a:ln>
                  </pic:spPr>
                </pic:pic>
              </a:graphicData>
            </a:graphic>
          </wp:inline>
        </w:drawing>
      </w:r>
    </w:p>
    <w:p w:rsidR="00197AA0" w:rsidRDefault="001D7573" w:rsidP="00217C55">
      <w:pPr>
        <w:jc w:val="both"/>
        <w:rPr>
          <w:rFonts w:ascii="Arial" w:hAnsi="Arial" w:cs="Arial"/>
          <w:b/>
        </w:rPr>
      </w:pPr>
      <w:r>
        <w:rPr>
          <w:rFonts w:ascii="Arial" w:hAnsi="Arial" w:cs="Arial"/>
          <w:b/>
          <w:noProof/>
        </w:rPr>
        <w:pict>
          <v:shape id="_x0000_s1200" type="#_x0000_t202" style="position:absolute;left:0;text-align:left;margin-left:177.35pt;margin-top:32.5pt;width:48.4pt;height:21pt;z-index:251830272;mso-height-percent:200;mso-height-percent:200;mso-width-relative:margin;mso-height-relative:margin" fillcolor="white [3212]" stroked="f">
            <v:textbox style="mso-next-textbox:#_x0000_s1200;mso-fit-shape-to-text:t">
              <w:txbxContent>
                <w:p w:rsidR="00AC7D7B" w:rsidRDefault="00AC7D7B" w:rsidP="007467DF">
                  <w:r>
                    <w:t>152</w:t>
                  </w:r>
                </w:p>
              </w:txbxContent>
            </v:textbox>
          </v:shape>
        </w:pict>
      </w:r>
    </w:p>
    <w:p w:rsidR="00197AA0" w:rsidRDefault="00197AA0" w:rsidP="00217C55">
      <w:pPr>
        <w:jc w:val="both"/>
        <w:rPr>
          <w:rFonts w:ascii="Arial" w:hAnsi="Arial" w:cs="Arial"/>
          <w:b/>
          <w:sz w:val="22"/>
          <w:szCs w:val="22"/>
        </w:rPr>
      </w:pPr>
      <w:r w:rsidRPr="005F780E">
        <w:rPr>
          <w:rFonts w:ascii="Arial" w:hAnsi="Arial" w:cs="Arial"/>
          <w:b/>
          <w:sz w:val="22"/>
          <w:szCs w:val="22"/>
        </w:rPr>
        <w:t>4.4 Caseta principal para permitir el ingreso a la terminal portuaria</w:t>
      </w:r>
    </w:p>
    <w:p w:rsidR="00197AA0" w:rsidRPr="005F780E" w:rsidRDefault="00197AA0" w:rsidP="00217C55">
      <w:pPr>
        <w:jc w:val="both"/>
        <w:rPr>
          <w:rFonts w:ascii="Arial" w:hAnsi="Arial" w:cs="Arial"/>
          <w:b/>
          <w:sz w:val="22"/>
          <w:szCs w:val="22"/>
        </w:rPr>
      </w:pPr>
    </w:p>
    <w:p w:rsidR="00197AA0" w:rsidRDefault="007C6B79" w:rsidP="00217C55">
      <w:pPr>
        <w:jc w:val="both"/>
        <w:rPr>
          <w:rFonts w:ascii="Arial" w:hAnsi="Arial" w:cs="Arial"/>
          <w:b/>
          <w:noProof/>
          <w:lang w:val="es-ES_tradnl" w:eastAsia="es-ES_tradnl"/>
        </w:rPr>
      </w:pPr>
      <w:r>
        <w:rPr>
          <w:rFonts w:ascii="Arial" w:hAnsi="Arial" w:cs="Arial"/>
          <w:b/>
          <w:noProof/>
        </w:rPr>
        <w:drawing>
          <wp:inline distT="0" distB="0" distL="0" distR="0">
            <wp:extent cx="4905375" cy="3305175"/>
            <wp:effectExtent l="19050" t="0" r="9525" b="0"/>
            <wp:docPr id="15"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86"/>
                    <a:srcRect/>
                    <a:stretch>
                      <a:fillRect/>
                    </a:stretch>
                  </pic:blipFill>
                  <pic:spPr bwMode="auto">
                    <a:xfrm>
                      <a:off x="0" y="0"/>
                      <a:ext cx="4905375" cy="3305175"/>
                    </a:xfrm>
                    <a:prstGeom prst="rect">
                      <a:avLst/>
                    </a:prstGeom>
                    <a:noFill/>
                    <a:ln w="9525">
                      <a:noFill/>
                      <a:miter lim="800000"/>
                      <a:headEnd/>
                      <a:tailEnd/>
                    </a:ln>
                  </pic:spPr>
                </pic:pic>
              </a:graphicData>
            </a:graphic>
          </wp:inline>
        </w:drawing>
      </w:r>
    </w:p>
    <w:p w:rsidR="00197AA0" w:rsidRDefault="00197AA0" w:rsidP="00217C55">
      <w:pPr>
        <w:jc w:val="both"/>
        <w:rPr>
          <w:rFonts w:ascii="Arial" w:hAnsi="Arial" w:cs="Arial"/>
          <w:b/>
          <w:noProof/>
          <w:lang w:val="es-ES_tradnl" w:eastAsia="es-ES_tradnl"/>
        </w:rPr>
      </w:pPr>
    </w:p>
    <w:p w:rsidR="00197AA0" w:rsidRDefault="00197AA0" w:rsidP="00217C55">
      <w:pPr>
        <w:jc w:val="both"/>
        <w:rPr>
          <w:rFonts w:ascii="Arial" w:hAnsi="Arial" w:cs="Arial"/>
          <w:b/>
        </w:rPr>
      </w:pPr>
    </w:p>
    <w:p w:rsidR="00197AA0" w:rsidRPr="00C23BA7" w:rsidRDefault="007C6B79" w:rsidP="00217C55">
      <w:pPr>
        <w:jc w:val="both"/>
        <w:rPr>
          <w:rFonts w:ascii="Arial" w:hAnsi="Arial" w:cs="Arial"/>
          <w:b/>
        </w:rPr>
      </w:pPr>
      <w:r>
        <w:rPr>
          <w:rFonts w:ascii="Arial" w:hAnsi="Arial" w:cs="Arial"/>
          <w:b/>
          <w:noProof/>
        </w:rPr>
        <w:lastRenderedPageBreak/>
        <w:drawing>
          <wp:inline distT="0" distB="0" distL="0" distR="0">
            <wp:extent cx="4905375" cy="3933825"/>
            <wp:effectExtent l="19050" t="0" r="9525" b="0"/>
            <wp:docPr id="1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87"/>
                    <a:srcRect/>
                    <a:stretch>
                      <a:fillRect/>
                    </a:stretch>
                  </pic:blipFill>
                  <pic:spPr bwMode="auto">
                    <a:xfrm>
                      <a:off x="0" y="0"/>
                      <a:ext cx="4905375" cy="3933825"/>
                    </a:xfrm>
                    <a:prstGeom prst="rect">
                      <a:avLst/>
                    </a:prstGeom>
                    <a:noFill/>
                    <a:ln w="9525">
                      <a:noFill/>
                      <a:miter lim="800000"/>
                      <a:headEnd/>
                      <a:tailEnd/>
                    </a:ln>
                  </pic:spPr>
                </pic:pic>
              </a:graphicData>
            </a:graphic>
          </wp:inline>
        </w:drawing>
      </w:r>
    </w:p>
    <w:p w:rsidR="00197AA0" w:rsidRDefault="001D7573" w:rsidP="00CA797C">
      <w:pPr>
        <w:pStyle w:val="Textonotapie"/>
        <w:spacing w:line="360" w:lineRule="auto"/>
        <w:jc w:val="both"/>
        <w:rPr>
          <w:rFonts w:ascii="Arial" w:hAnsi="Arial" w:cs="Arial"/>
          <w:b/>
          <w:sz w:val="22"/>
          <w:szCs w:val="22"/>
        </w:rPr>
      </w:pPr>
      <w:r w:rsidRPr="001D7573">
        <w:rPr>
          <w:rFonts w:ascii="Arial" w:hAnsi="Arial" w:cs="Arial"/>
          <w:b/>
          <w:noProof/>
        </w:rPr>
        <w:pict>
          <v:shape id="_x0000_s1199" type="#_x0000_t202" style="position:absolute;left:0;text-align:left;margin-left:178.85pt;margin-top:43.05pt;width:45pt;height:21pt;z-index:251829248;mso-height-percent:200;mso-height-percent:200;mso-width-relative:margin;mso-height-relative:margin" fillcolor="white [3212]" stroked="f">
            <v:textbox style="mso-next-textbox:#_x0000_s1199;mso-fit-shape-to-text:t">
              <w:txbxContent>
                <w:p w:rsidR="00AC7D7B" w:rsidRDefault="00AC7D7B" w:rsidP="007467DF">
                  <w:r>
                    <w:t>153</w:t>
                  </w:r>
                </w:p>
              </w:txbxContent>
            </v:textbox>
          </v:shape>
        </w:pict>
      </w:r>
    </w:p>
    <w:p w:rsidR="00197AA0" w:rsidRPr="005F780E" w:rsidRDefault="00197AA0" w:rsidP="00217C55">
      <w:pPr>
        <w:jc w:val="center"/>
        <w:rPr>
          <w:rFonts w:ascii="Arial" w:hAnsi="Arial" w:cs="Arial"/>
          <w:b/>
          <w:sz w:val="22"/>
          <w:szCs w:val="22"/>
        </w:rPr>
      </w:pPr>
      <w:r w:rsidRPr="005F780E">
        <w:rPr>
          <w:rFonts w:ascii="Arial" w:hAnsi="Arial" w:cs="Arial"/>
          <w:b/>
          <w:sz w:val="22"/>
          <w:szCs w:val="22"/>
        </w:rPr>
        <w:t>BIBLIOGRAFÍA</w:t>
      </w:r>
    </w:p>
    <w:p w:rsidR="00197AA0" w:rsidRPr="00562750" w:rsidRDefault="00197AA0" w:rsidP="00217C55">
      <w:pPr>
        <w:rPr>
          <w:rFonts w:ascii="Arial" w:hAnsi="Arial" w:cs="Arial"/>
          <w:b/>
          <w:sz w:val="18"/>
          <w:szCs w:val="18"/>
        </w:rPr>
      </w:pPr>
    </w:p>
    <w:p w:rsidR="00197AA0" w:rsidRDefault="00197AA0" w:rsidP="00217C55">
      <w:pPr>
        <w:rPr>
          <w:rFonts w:ascii="Arial" w:hAnsi="Arial" w:cs="Arial"/>
          <w:b/>
          <w:sz w:val="18"/>
          <w:szCs w:val="18"/>
        </w:rPr>
      </w:pPr>
      <w:r w:rsidRPr="00562750">
        <w:rPr>
          <w:rFonts w:ascii="Arial" w:hAnsi="Arial" w:cs="Arial"/>
          <w:b/>
          <w:sz w:val="18"/>
          <w:szCs w:val="18"/>
        </w:rPr>
        <w:t>Libros</w:t>
      </w:r>
    </w:p>
    <w:p w:rsidR="00197AA0" w:rsidRPr="00562750" w:rsidRDefault="00197AA0" w:rsidP="00217C55">
      <w:pPr>
        <w:rPr>
          <w:rFonts w:ascii="Arial" w:hAnsi="Arial" w:cs="Arial"/>
          <w:b/>
          <w:sz w:val="18"/>
          <w:szCs w:val="18"/>
        </w:rPr>
      </w:pPr>
    </w:p>
    <w:p w:rsidR="00197AA0" w:rsidRDefault="00197AA0" w:rsidP="00217C55">
      <w:pPr>
        <w:jc w:val="both"/>
        <w:rPr>
          <w:rFonts w:ascii="Arial" w:hAnsi="Arial" w:cs="Arial"/>
          <w:sz w:val="18"/>
          <w:szCs w:val="18"/>
          <w:lang w:val="en-GB"/>
        </w:rPr>
      </w:pPr>
      <w:r w:rsidRPr="00217C55">
        <w:rPr>
          <w:rFonts w:ascii="Arial" w:hAnsi="Arial" w:cs="Arial"/>
          <w:sz w:val="18"/>
          <w:szCs w:val="18"/>
        </w:rPr>
        <w:t xml:space="preserve">ALMARÁ, Dr. Silvia María. </w:t>
      </w:r>
      <w:r w:rsidRPr="00217C55">
        <w:rPr>
          <w:rFonts w:ascii="Arial" w:hAnsi="Arial" w:cs="Arial"/>
          <w:i/>
          <w:sz w:val="18"/>
          <w:szCs w:val="18"/>
        </w:rPr>
        <w:t xml:space="preserve">El transporte marítimo y la protección del medio marino. </w:t>
      </w:r>
      <w:r w:rsidRPr="00217C55">
        <w:rPr>
          <w:rFonts w:ascii="Arial" w:hAnsi="Arial" w:cs="Arial"/>
          <w:sz w:val="18"/>
          <w:szCs w:val="18"/>
          <w:lang w:val="en-GB"/>
        </w:rPr>
        <w:t>2007.</w:t>
      </w:r>
    </w:p>
    <w:p w:rsidR="00197AA0" w:rsidRPr="00217C55" w:rsidRDefault="00197AA0" w:rsidP="00217C55">
      <w:pPr>
        <w:jc w:val="both"/>
        <w:rPr>
          <w:rFonts w:ascii="Arial" w:hAnsi="Arial" w:cs="Arial"/>
          <w:sz w:val="18"/>
          <w:szCs w:val="18"/>
          <w:lang w:val="en-GB"/>
        </w:rPr>
      </w:pPr>
    </w:p>
    <w:p w:rsidR="00197AA0" w:rsidRDefault="00197AA0" w:rsidP="00217C55">
      <w:pPr>
        <w:jc w:val="both"/>
        <w:rPr>
          <w:rFonts w:ascii="Arial" w:hAnsi="Arial" w:cs="Arial"/>
          <w:sz w:val="18"/>
          <w:szCs w:val="18"/>
          <w:lang w:val="en-US"/>
        </w:rPr>
      </w:pPr>
      <w:r w:rsidRPr="00217C55">
        <w:rPr>
          <w:rFonts w:ascii="Arial" w:hAnsi="Arial" w:cs="Arial"/>
          <w:sz w:val="18"/>
          <w:szCs w:val="18"/>
          <w:lang w:val="en-US"/>
        </w:rPr>
        <w:t xml:space="preserve">BATISTA Da SILVA, Eliezer. </w:t>
      </w:r>
      <w:r w:rsidRPr="00217C55">
        <w:rPr>
          <w:rFonts w:ascii="Arial" w:hAnsi="Arial" w:cs="Arial"/>
          <w:i/>
          <w:sz w:val="18"/>
          <w:szCs w:val="18"/>
          <w:lang w:val="en-US"/>
        </w:rPr>
        <w:t xml:space="preserve">Infrastructure for Sustainable Development and Integration of South America. A report to Business Council for Sustainable Development, </w:t>
      </w:r>
      <w:r w:rsidRPr="00217C55">
        <w:rPr>
          <w:rFonts w:ascii="Arial" w:hAnsi="Arial" w:cs="Arial"/>
          <w:sz w:val="18"/>
          <w:szCs w:val="18"/>
          <w:lang w:val="en-US"/>
        </w:rPr>
        <w:t>Corporación Andina de Fomento (CAF), Compañía</w:t>
      </w:r>
      <w:r w:rsidRPr="00217C55">
        <w:rPr>
          <w:rFonts w:ascii="Arial" w:hAnsi="Arial" w:cs="Arial"/>
          <w:i/>
          <w:sz w:val="18"/>
          <w:szCs w:val="18"/>
          <w:lang w:val="en-US"/>
        </w:rPr>
        <w:t xml:space="preserve"> </w:t>
      </w:r>
      <w:r w:rsidRPr="00217C55">
        <w:rPr>
          <w:rFonts w:ascii="Arial" w:hAnsi="Arial" w:cs="Arial"/>
          <w:sz w:val="18"/>
          <w:szCs w:val="18"/>
          <w:lang w:val="en-US"/>
        </w:rPr>
        <w:t>Vale do Rio Doce, Bank of America, Compañía Auxiliar de Empresas de Mineracao, 1996.</w:t>
      </w:r>
    </w:p>
    <w:p w:rsidR="00197AA0" w:rsidRPr="00217C55" w:rsidRDefault="00197AA0" w:rsidP="00217C55">
      <w:pPr>
        <w:jc w:val="both"/>
        <w:rPr>
          <w:rFonts w:ascii="Arial" w:hAnsi="Arial" w:cs="Arial"/>
          <w:i/>
          <w:sz w:val="18"/>
          <w:szCs w:val="18"/>
          <w:lang w:val="en-US"/>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BECERRA RAMIREZ, Manuel. </w:t>
      </w:r>
      <w:r w:rsidRPr="00217C55">
        <w:rPr>
          <w:rFonts w:ascii="Arial" w:hAnsi="Arial" w:cs="Arial"/>
          <w:i/>
          <w:sz w:val="18"/>
          <w:szCs w:val="18"/>
        </w:rPr>
        <w:t>Derecho Internacional Público</w:t>
      </w:r>
      <w:r w:rsidRPr="00217C55">
        <w:rPr>
          <w:rFonts w:ascii="Arial" w:hAnsi="Arial" w:cs="Arial"/>
          <w:sz w:val="18"/>
          <w:szCs w:val="18"/>
        </w:rPr>
        <w:t>, Instituto de Investigaciones Jurídicas, Universidad Nacional Autónoma de México, 1991.</w:t>
      </w:r>
    </w:p>
    <w:p w:rsidR="00197AA0" w:rsidRPr="00217C55" w:rsidRDefault="00197AA0" w:rsidP="00217C55">
      <w:pPr>
        <w:jc w:val="both"/>
        <w:rPr>
          <w:rFonts w:ascii="Arial" w:hAnsi="Arial" w:cs="Arial"/>
          <w:sz w:val="18"/>
          <w:szCs w:val="18"/>
        </w:rPr>
      </w:pPr>
    </w:p>
    <w:p w:rsidR="00197AA0" w:rsidRPr="00217C55" w:rsidRDefault="00197AA0" w:rsidP="00217C55">
      <w:pPr>
        <w:pStyle w:val="Textonotapie"/>
        <w:jc w:val="both"/>
        <w:rPr>
          <w:rFonts w:ascii="Arial" w:hAnsi="Arial" w:cs="Arial"/>
          <w:sz w:val="18"/>
          <w:szCs w:val="18"/>
          <w:lang w:val="es-SV"/>
        </w:rPr>
      </w:pPr>
      <w:r w:rsidRPr="00217C55">
        <w:rPr>
          <w:rFonts w:ascii="Arial" w:hAnsi="Arial" w:cs="Arial"/>
          <w:sz w:val="18"/>
          <w:szCs w:val="18"/>
          <w:lang w:val="es-SV"/>
        </w:rPr>
        <w:t xml:space="preserve">CALVO, Mario Seoanez. </w:t>
      </w:r>
      <w:r w:rsidRPr="00217C55">
        <w:rPr>
          <w:rFonts w:ascii="Arial" w:hAnsi="Arial" w:cs="Arial"/>
          <w:i/>
          <w:sz w:val="18"/>
          <w:szCs w:val="18"/>
          <w:lang w:val="es-SV"/>
        </w:rPr>
        <w:t>Manual de contaminación marina y restauración litoral</w:t>
      </w:r>
      <w:r w:rsidRPr="00217C55">
        <w:rPr>
          <w:rFonts w:ascii="Arial" w:hAnsi="Arial" w:cs="Arial"/>
          <w:sz w:val="18"/>
          <w:szCs w:val="18"/>
          <w:lang w:val="es-SV"/>
        </w:rPr>
        <w:t>. España, 2000.</w:t>
      </w:r>
    </w:p>
    <w:p w:rsidR="00197AA0" w:rsidRPr="00217C55" w:rsidRDefault="00197AA0" w:rsidP="00217C55">
      <w:pPr>
        <w:pStyle w:val="Textonotapie"/>
        <w:jc w:val="both"/>
        <w:rPr>
          <w:rFonts w:ascii="Arial" w:hAnsi="Arial" w:cs="Arial"/>
          <w:sz w:val="18"/>
          <w:szCs w:val="18"/>
        </w:rPr>
      </w:pPr>
    </w:p>
    <w:p w:rsidR="00197AA0" w:rsidRPr="00217C55" w:rsidRDefault="00197AA0" w:rsidP="00217C55">
      <w:pPr>
        <w:pStyle w:val="Textonotapie"/>
        <w:jc w:val="both"/>
        <w:rPr>
          <w:rFonts w:ascii="Arial" w:hAnsi="Arial" w:cs="Arial"/>
          <w:sz w:val="18"/>
          <w:szCs w:val="18"/>
        </w:rPr>
      </w:pPr>
      <w:r w:rsidRPr="00217C55">
        <w:rPr>
          <w:rFonts w:ascii="Arial" w:hAnsi="Arial" w:cs="Arial"/>
          <w:sz w:val="18"/>
          <w:szCs w:val="18"/>
        </w:rPr>
        <w:t xml:space="preserve">CIPOLETTA TOMASSIAN, Georgina; PÉREZ SALAS, Gabriel; J. SANCHEZ, Ricardo. </w:t>
      </w:r>
      <w:r w:rsidRPr="00217C55">
        <w:rPr>
          <w:rFonts w:ascii="Arial" w:hAnsi="Arial" w:cs="Arial"/>
          <w:i/>
          <w:sz w:val="18"/>
          <w:szCs w:val="18"/>
        </w:rPr>
        <w:t xml:space="preserve">Políticas integradas de infraestructura, transporte y logística: experiencias internacionales y propuestas iniciales, </w:t>
      </w:r>
      <w:r w:rsidRPr="00217C55">
        <w:rPr>
          <w:rFonts w:ascii="Arial" w:hAnsi="Arial" w:cs="Arial"/>
          <w:sz w:val="18"/>
          <w:szCs w:val="18"/>
        </w:rPr>
        <w:t>Publicación de las Naciones Unidas, CEPAL, Santiago de Chile, 2010.</w:t>
      </w:r>
    </w:p>
    <w:p w:rsidR="00197AA0" w:rsidRPr="00217C55" w:rsidRDefault="00197AA0" w:rsidP="00217C55">
      <w:pPr>
        <w:pStyle w:val="Textonotapie"/>
        <w:jc w:val="both"/>
        <w:rPr>
          <w:rFonts w:ascii="Arial" w:hAnsi="Arial" w:cs="Arial"/>
          <w:sz w:val="18"/>
          <w:szCs w:val="18"/>
        </w:rPr>
      </w:pPr>
    </w:p>
    <w:p w:rsidR="00197AA0" w:rsidRPr="00217C55" w:rsidRDefault="00197AA0" w:rsidP="00217C55">
      <w:pPr>
        <w:pStyle w:val="Textonotapie"/>
        <w:rPr>
          <w:rFonts w:ascii="Arial" w:hAnsi="Arial" w:cs="Arial"/>
          <w:i/>
          <w:sz w:val="18"/>
          <w:szCs w:val="18"/>
        </w:rPr>
      </w:pPr>
      <w:r w:rsidRPr="00217C55">
        <w:rPr>
          <w:rFonts w:ascii="Arial" w:hAnsi="Arial" w:cs="Arial"/>
          <w:sz w:val="18"/>
          <w:szCs w:val="18"/>
        </w:rPr>
        <w:t xml:space="preserve">GABALDÓN GARCIA, José Luís; RUÍZ SOROA, José María. </w:t>
      </w:r>
      <w:r w:rsidRPr="00217C55">
        <w:rPr>
          <w:rFonts w:ascii="Arial" w:hAnsi="Arial" w:cs="Arial"/>
          <w:i/>
          <w:sz w:val="18"/>
          <w:szCs w:val="18"/>
        </w:rPr>
        <w:t>Manual de Derecho de la Navegación Marítima</w:t>
      </w:r>
      <w:r w:rsidRPr="00217C55">
        <w:rPr>
          <w:rFonts w:ascii="Arial" w:hAnsi="Arial" w:cs="Arial"/>
          <w:sz w:val="18"/>
          <w:szCs w:val="18"/>
        </w:rPr>
        <w:t>, Tercera Edición, Marcial Pons, Madrid, España 2006.</w:t>
      </w:r>
    </w:p>
    <w:p w:rsidR="00197AA0" w:rsidRPr="00217C55" w:rsidRDefault="00197AA0" w:rsidP="00217C55">
      <w:pPr>
        <w:pStyle w:val="Textonotapie"/>
        <w:jc w:val="both"/>
        <w:rPr>
          <w:rFonts w:ascii="Arial" w:hAnsi="Arial" w:cs="Arial"/>
          <w:sz w:val="18"/>
          <w:szCs w:val="18"/>
        </w:rPr>
      </w:pPr>
    </w:p>
    <w:p w:rsidR="00197AA0" w:rsidRPr="00217C55" w:rsidRDefault="00197AA0" w:rsidP="00217C55">
      <w:pPr>
        <w:pStyle w:val="Textonotapie"/>
        <w:jc w:val="both"/>
        <w:rPr>
          <w:rFonts w:ascii="Arial" w:hAnsi="Arial" w:cs="Arial"/>
          <w:sz w:val="18"/>
          <w:szCs w:val="18"/>
        </w:rPr>
      </w:pPr>
      <w:r w:rsidRPr="00217C55">
        <w:rPr>
          <w:rFonts w:ascii="Arial" w:hAnsi="Arial" w:cs="Arial"/>
          <w:sz w:val="18"/>
          <w:szCs w:val="18"/>
        </w:rPr>
        <w:t xml:space="preserve">GOMEZ, Esteban. </w:t>
      </w:r>
      <w:r w:rsidRPr="00217C55">
        <w:rPr>
          <w:rFonts w:ascii="Arial" w:hAnsi="Arial" w:cs="Arial"/>
          <w:i/>
          <w:sz w:val="18"/>
          <w:szCs w:val="18"/>
        </w:rPr>
        <w:t>Apuntes sobre el descubrimiento y la colonización del Golfo de Fonseca durante los Siglos XVI y XVII: La arqueología e historia de Conchagua Vieja (54-A2), Departamento de La Unión, El Salvador</w:t>
      </w:r>
      <w:r w:rsidRPr="00217C55">
        <w:rPr>
          <w:rFonts w:ascii="Arial" w:hAnsi="Arial" w:cs="Arial"/>
          <w:sz w:val="18"/>
          <w:szCs w:val="18"/>
        </w:rPr>
        <w:t xml:space="preserve"> , Universidad de Berkeley, Estados Unidos, 2000.</w:t>
      </w:r>
    </w:p>
    <w:p w:rsidR="00197AA0" w:rsidRPr="00217C55" w:rsidRDefault="00197AA0" w:rsidP="00217C55">
      <w:pPr>
        <w:pStyle w:val="Textonotapie"/>
        <w:jc w:val="both"/>
        <w:rPr>
          <w:rFonts w:ascii="Arial" w:hAnsi="Arial" w:cs="Arial"/>
          <w:sz w:val="18"/>
          <w:szCs w:val="18"/>
        </w:rPr>
      </w:pPr>
    </w:p>
    <w:p w:rsidR="00197AA0" w:rsidRPr="00217C55" w:rsidRDefault="00197AA0" w:rsidP="00217C55">
      <w:pPr>
        <w:pStyle w:val="Textonotapie"/>
        <w:jc w:val="both"/>
        <w:rPr>
          <w:rFonts w:ascii="Arial" w:hAnsi="Arial" w:cs="Arial"/>
          <w:sz w:val="18"/>
          <w:szCs w:val="18"/>
        </w:rPr>
      </w:pPr>
      <w:r w:rsidRPr="00217C55">
        <w:rPr>
          <w:rFonts w:ascii="Arial" w:hAnsi="Arial" w:cs="Arial"/>
          <w:sz w:val="18"/>
          <w:szCs w:val="18"/>
        </w:rPr>
        <w:t xml:space="preserve">HUERTA VIESCA, María Isabel; RUIZ de VILLA, Daniel Rodríguez. </w:t>
      </w:r>
      <w:r w:rsidRPr="00217C55">
        <w:rPr>
          <w:rFonts w:ascii="Arial" w:hAnsi="Arial" w:cs="Arial"/>
          <w:i/>
          <w:sz w:val="18"/>
          <w:szCs w:val="18"/>
        </w:rPr>
        <w:t xml:space="preserve">Responsabilidad civil por contaminación marina por vertido de hidrocarburos. A propósito del Prestige, </w:t>
      </w:r>
      <w:r w:rsidRPr="00217C55">
        <w:rPr>
          <w:rFonts w:ascii="Arial" w:hAnsi="Arial" w:cs="Arial"/>
          <w:sz w:val="18"/>
          <w:szCs w:val="18"/>
        </w:rPr>
        <w:t>Publicaciones de la Universidad de Oviedo, 2004.</w:t>
      </w:r>
    </w:p>
    <w:p w:rsidR="00197AA0" w:rsidRPr="00217C55" w:rsidRDefault="00197AA0" w:rsidP="00217C55">
      <w:pPr>
        <w:pStyle w:val="Textonotapie"/>
        <w:jc w:val="both"/>
        <w:rPr>
          <w:rFonts w:ascii="Arial" w:hAnsi="Arial" w:cs="Arial"/>
          <w:sz w:val="18"/>
          <w:szCs w:val="18"/>
          <w:lang w:val="es-SV"/>
        </w:rPr>
      </w:pPr>
    </w:p>
    <w:p w:rsidR="00197AA0" w:rsidRDefault="00197AA0" w:rsidP="00217C55">
      <w:pPr>
        <w:jc w:val="both"/>
        <w:rPr>
          <w:rFonts w:ascii="Arial" w:hAnsi="Arial" w:cs="Arial"/>
          <w:sz w:val="18"/>
          <w:szCs w:val="18"/>
        </w:rPr>
      </w:pPr>
      <w:r w:rsidRPr="00217C55">
        <w:rPr>
          <w:rFonts w:ascii="Arial" w:hAnsi="Arial" w:cs="Arial"/>
          <w:sz w:val="18"/>
          <w:szCs w:val="18"/>
        </w:rPr>
        <w:lastRenderedPageBreak/>
        <w:t>JACOBSSON, Mans .</w:t>
      </w:r>
      <w:r w:rsidRPr="00217C55">
        <w:rPr>
          <w:rFonts w:ascii="Arial" w:hAnsi="Arial" w:cs="Arial"/>
          <w:i/>
          <w:sz w:val="18"/>
          <w:szCs w:val="18"/>
        </w:rPr>
        <w:t xml:space="preserve">El régimen internacional de indemnización 25 años después. </w:t>
      </w:r>
      <w:r w:rsidRPr="00217C55">
        <w:rPr>
          <w:rFonts w:ascii="Arial" w:hAnsi="Arial" w:cs="Arial"/>
          <w:sz w:val="18"/>
          <w:szCs w:val="18"/>
        </w:rPr>
        <w:t>Director FIDAC. 2003.</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OLIVENCIA RUIZ, Manuel. </w:t>
      </w:r>
      <w:r w:rsidRPr="00217C55">
        <w:rPr>
          <w:rFonts w:ascii="Arial" w:hAnsi="Arial" w:cs="Arial"/>
          <w:i/>
          <w:sz w:val="18"/>
          <w:szCs w:val="18"/>
        </w:rPr>
        <w:t xml:space="preserve">Cuestiones actuales del derecho de seguros, </w:t>
      </w:r>
      <w:r w:rsidRPr="00217C55">
        <w:rPr>
          <w:rFonts w:ascii="Arial" w:hAnsi="Arial" w:cs="Arial"/>
          <w:sz w:val="18"/>
          <w:szCs w:val="18"/>
        </w:rPr>
        <w:t>Editorial Telier, Barcelona, 2002.</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lang w:val="es-SV"/>
        </w:rPr>
      </w:pPr>
      <w:r w:rsidRPr="00217C55">
        <w:rPr>
          <w:rFonts w:ascii="Arial" w:hAnsi="Arial" w:cs="Arial"/>
          <w:sz w:val="18"/>
          <w:szCs w:val="18"/>
          <w:lang w:val="en-GB"/>
        </w:rPr>
        <w:t xml:space="preserve">PETROW, Richard. </w:t>
      </w:r>
      <w:r w:rsidRPr="00217C55">
        <w:rPr>
          <w:rFonts w:ascii="Arial" w:hAnsi="Arial" w:cs="Arial"/>
          <w:i/>
          <w:sz w:val="18"/>
          <w:szCs w:val="18"/>
          <w:lang w:val="en-GB"/>
        </w:rPr>
        <w:t xml:space="preserve">What really caused the Torrey Canyon disaster? </w:t>
      </w:r>
      <w:r w:rsidRPr="00217C55">
        <w:rPr>
          <w:rFonts w:ascii="Arial" w:hAnsi="Arial" w:cs="Arial"/>
          <w:sz w:val="18"/>
          <w:szCs w:val="18"/>
          <w:lang w:val="en-GB"/>
        </w:rPr>
        <w:t xml:space="preserve"> </w:t>
      </w:r>
      <w:r w:rsidRPr="00217C55">
        <w:rPr>
          <w:rFonts w:ascii="Arial" w:hAnsi="Arial" w:cs="Arial"/>
          <w:sz w:val="18"/>
          <w:szCs w:val="18"/>
          <w:lang w:val="es-SV"/>
        </w:rPr>
        <w:t>1969.</w:t>
      </w:r>
    </w:p>
    <w:p w:rsidR="00197AA0" w:rsidRPr="00217C55" w:rsidRDefault="00197AA0" w:rsidP="00217C55">
      <w:pPr>
        <w:jc w:val="both"/>
        <w:rPr>
          <w:rFonts w:ascii="Arial" w:hAnsi="Arial" w:cs="Arial"/>
          <w:sz w:val="18"/>
          <w:szCs w:val="18"/>
          <w:lang w:val="es-SV"/>
        </w:rPr>
      </w:pPr>
    </w:p>
    <w:p w:rsidR="00197AA0" w:rsidRDefault="00197AA0" w:rsidP="00217C55">
      <w:pPr>
        <w:jc w:val="both"/>
        <w:rPr>
          <w:rFonts w:ascii="Arial" w:hAnsi="Arial" w:cs="Arial"/>
          <w:sz w:val="18"/>
          <w:szCs w:val="18"/>
          <w:lang w:eastAsia="es-MX"/>
        </w:rPr>
      </w:pPr>
      <w:r w:rsidRPr="00217C55">
        <w:rPr>
          <w:rFonts w:ascii="Arial" w:hAnsi="Arial" w:cs="Arial"/>
          <w:sz w:val="18"/>
          <w:szCs w:val="18"/>
        </w:rPr>
        <w:t xml:space="preserve">PEREZ SALAS, Gabriel. </w:t>
      </w:r>
      <w:r w:rsidRPr="00217C55">
        <w:rPr>
          <w:rFonts w:ascii="Arial" w:hAnsi="Arial" w:cs="Arial"/>
          <w:i/>
          <w:sz w:val="18"/>
          <w:szCs w:val="18"/>
          <w:lang w:eastAsia="es-MX"/>
        </w:rPr>
        <w:t>Los puertos y su rol en los sistemas intermodales de transporte,</w:t>
      </w:r>
      <w:r w:rsidRPr="00217C55">
        <w:rPr>
          <w:rFonts w:ascii="Arial" w:hAnsi="Arial" w:cs="Arial"/>
          <w:sz w:val="18"/>
          <w:szCs w:val="18"/>
          <w:lang w:eastAsia="es-MX"/>
        </w:rPr>
        <w:t xml:space="preserve"> Revista La Timonera, edición 12, Colombia, 2009.</w:t>
      </w:r>
    </w:p>
    <w:p w:rsidR="00197AA0" w:rsidRPr="00217C55" w:rsidRDefault="00197AA0" w:rsidP="00217C55">
      <w:pPr>
        <w:jc w:val="both"/>
        <w:rPr>
          <w:rFonts w:ascii="Arial" w:hAnsi="Arial" w:cs="Arial"/>
          <w:sz w:val="18"/>
          <w:szCs w:val="18"/>
          <w:lang w:val="es-SV"/>
        </w:rPr>
      </w:pPr>
    </w:p>
    <w:p w:rsidR="00197AA0" w:rsidRPr="00217C55" w:rsidRDefault="00197AA0" w:rsidP="00217C55">
      <w:pPr>
        <w:pStyle w:val="Textonotapie"/>
        <w:jc w:val="both"/>
        <w:rPr>
          <w:rFonts w:ascii="Arial" w:hAnsi="Arial" w:cs="Arial"/>
          <w:sz w:val="18"/>
          <w:szCs w:val="18"/>
        </w:rPr>
      </w:pPr>
      <w:r w:rsidRPr="00217C55">
        <w:rPr>
          <w:rFonts w:ascii="Arial" w:hAnsi="Arial" w:cs="Arial"/>
          <w:sz w:val="18"/>
          <w:szCs w:val="18"/>
        </w:rPr>
        <w:t xml:space="preserve">PUEYO Losa, J; </w:t>
      </w:r>
      <w:r w:rsidRPr="00217C55">
        <w:rPr>
          <w:rFonts w:ascii="Arial" w:hAnsi="Arial" w:cs="Arial"/>
          <w:i/>
          <w:sz w:val="18"/>
          <w:szCs w:val="18"/>
        </w:rPr>
        <w:t>et al,</w:t>
      </w:r>
      <w:r w:rsidRPr="00217C55">
        <w:rPr>
          <w:rFonts w:ascii="Arial" w:hAnsi="Arial" w:cs="Arial"/>
          <w:sz w:val="18"/>
          <w:szCs w:val="18"/>
        </w:rPr>
        <w:t xml:space="preserve"> </w:t>
      </w:r>
      <w:r w:rsidRPr="00217C55">
        <w:rPr>
          <w:rFonts w:ascii="Arial" w:hAnsi="Arial" w:cs="Arial"/>
          <w:i/>
          <w:sz w:val="18"/>
          <w:szCs w:val="18"/>
        </w:rPr>
        <w:t>En torno a la revisión del régimen jurídico internacional de seguridad marítima y protección del medio ambiente marino a la luz del accidente del Prestige</w:t>
      </w:r>
      <w:r w:rsidRPr="00217C55">
        <w:rPr>
          <w:rFonts w:ascii="Arial" w:hAnsi="Arial" w:cs="Arial"/>
          <w:sz w:val="18"/>
          <w:szCs w:val="18"/>
        </w:rPr>
        <w:t>, R.E.D.I, vol. LV, 2003.</w:t>
      </w:r>
    </w:p>
    <w:p w:rsidR="00197AA0" w:rsidRPr="00217C55" w:rsidRDefault="00197AA0" w:rsidP="00217C55">
      <w:pPr>
        <w:pStyle w:val="Textonotapie"/>
        <w:jc w:val="both"/>
        <w:rPr>
          <w:rFonts w:ascii="Arial" w:hAnsi="Arial" w:cs="Arial"/>
          <w:sz w:val="18"/>
          <w:szCs w:val="18"/>
        </w:rPr>
      </w:pPr>
    </w:p>
    <w:p w:rsidR="00197AA0" w:rsidRPr="00217C55" w:rsidRDefault="00197AA0" w:rsidP="00217C55">
      <w:pPr>
        <w:pStyle w:val="Textonotapie"/>
        <w:jc w:val="both"/>
        <w:rPr>
          <w:rFonts w:ascii="Arial" w:hAnsi="Arial" w:cs="Arial"/>
          <w:sz w:val="18"/>
          <w:szCs w:val="18"/>
          <w:lang w:val="es-MX"/>
        </w:rPr>
      </w:pPr>
      <w:r w:rsidRPr="00217C55">
        <w:rPr>
          <w:rFonts w:ascii="Arial" w:hAnsi="Arial" w:cs="Arial"/>
          <w:sz w:val="18"/>
          <w:szCs w:val="18"/>
          <w:lang w:val="es-MX"/>
        </w:rPr>
        <w:t xml:space="preserve">ROZAS, Patricio y SANCHEZ, Ricardo. </w:t>
      </w:r>
      <w:r w:rsidRPr="00217C55">
        <w:rPr>
          <w:rFonts w:ascii="Arial" w:hAnsi="Arial" w:cs="Arial"/>
          <w:i/>
          <w:sz w:val="18"/>
          <w:szCs w:val="18"/>
          <w:lang w:val="es-MX"/>
        </w:rPr>
        <w:t>Desarrollo de infraestructura y crecimiento económico: revisión conceptual</w:t>
      </w:r>
      <w:r w:rsidRPr="00217C55">
        <w:rPr>
          <w:rFonts w:ascii="Arial" w:hAnsi="Arial" w:cs="Arial"/>
          <w:sz w:val="18"/>
          <w:szCs w:val="18"/>
          <w:lang w:val="es-MX"/>
        </w:rPr>
        <w:t>, CEPAL Serie Recursos Naturales e Infraestructura Nº 75, Santiago de Chile, 2004.</w:t>
      </w:r>
    </w:p>
    <w:p w:rsidR="00197AA0" w:rsidRPr="00217C55" w:rsidRDefault="00197AA0" w:rsidP="00217C55">
      <w:pPr>
        <w:pStyle w:val="Textonotapie"/>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RUÁ COSTA, Carles. </w:t>
      </w:r>
      <w:r w:rsidRPr="00217C55">
        <w:rPr>
          <w:rFonts w:ascii="Arial" w:hAnsi="Arial" w:cs="Arial"/>
          <w:i/>
          <w:sz w:val="18"/>
          <w:szCs w:val="18"/>
        </w:rPr>
        <w:t>Los puertos en el transporte marítimo</w:t>
      </w:r>
      <w:r w:rsidRPr="00217C55">
        <w:rPr>
          <w:rFonts w:ascii="Arial" w:hAnsi="Arial" w:cs="Arial"/>
          <w:sz w:val="18"/>
          <w:szCs w:val="18"/>
        </w:rPr>
        <w:t>, Universidad Politécnica de Catalunya, España. 2006.</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bCs/>
          <w:sz w:val="18"/>
          <w:szCs w:val="18"/>
        </w:rPr>
      </w:pPr>
      <w:r w:rsidRPr="00217C55">
        <w:rPr>
          <w:rFonts w:ascii="Arial" w:hAnsi="Arial" w:cs="Arial"/>
          <w:sz w:val="18"/>
          <w:szCs w:val="18"/>
        </w:rPr>
        <w:t xml:space="preserve">UMAÑA, Mario. </w:t>
      </w:r>
      <w:r w:rsidRPr="00217C55">
        <w:rPr>
          <w:rFonts w:ascii="Arial" w:hAnsi="Arial" w:cs="Arial"/>
          <w:bCs/>
          <w:i/>
          <w:sz w:val="18"/>
          <w:szCs w:val="18"/>
        </w:rPr>
        <w:t xml:space="preserve">Infraestructura Avanzada de Transportes para el Desarrollo Sostenible y la Integración de Centroamérica, </w:t>
      </w:r>
      <w:r w:rsidRPr="00217C55">
        <w:rPr>
          <w:rFonts w:ascii="Arial" w:hAnsi="Arial" w:cs="Arial"/>
          <w:bCs/>
          <w:sz w:val="18"/>
          <w:szCs w:val="18"/>
        </w:rPr>
        <w:t>CEN, 1999.</w:t>
      </w:r>
    </w:p>
    <w:p w:rsidR="00197AA0" w:rsidRPr="00217C55" w:rsidRDefault="00197AA0" w:rsidP="00217C55">
      <w:pPr>
        <w:jc w:val="both"/>
        <w:rPr>
          <w:rFonts w:ascii="Arial" w:hAnsi="Arial" w:cs="Arial"/>
          <w:sz w:val="18"/>
          <w:szCs w:val="18"/>
        </w:rPr>
      </w:pPr>
    </w:p>
    <w:p w:rsidR="00197AA0" w:rsidRPr="00217C55" w:rsidRDefault="00197AA0" w:rsidP="00217C55">
      <w:pPr>
        <w:jc w:val="both"/>
        <w:rPr>
          <w:rFonts w:ascii="Arial" w:hAnsi="Arial" w:cs="Arial"/>
          <w:sz w:val="18"/>
          <w:szCs w:val="18"/>
        </w:rPr>
      </w:pPr>
      <w:r w:rsidRPr="00217C55">
        <w:rPr>
          <w:rFonts w:ascii="Arial" w:hAnsi="Arial" w:cs="Arial"/>
          <w:sz w:val="18"/>
          <w:szCs w:val="18"/>
        </w:rPr>
        <w:t xml:space="preserve">ZAMORA TERRÉS, J. </w:t>
      </w:r>
      <w:r w:rsidRPr="00217C55">
        <w:rPr>
          <w:rFonts w:ascii="Arial" w:hAnsi="Arial" w:cs="Arial"/>
          <w:i/>
          <w:sz w:val="18"/>
          <w:szCs w:val="18"/>
        </w:rPr>
        <w:t>La desgracia del Prestige</w:t>
      </w:r>
      <w:r w:rsidRPr="00217C55">
        <w:rPr>
          <w:rFonts w:ascii="Arial" w:hAnsi="Arial" w:cs="Arial"/>
          <w:sz w:val="18"/>
          <w:szCs w:val="18"/>
        </w:rPr>
        <w:t>, Barcelona, 2003.</w:t>
      </w:r>
    </w:p>
    <w:p w:rsidR="00197AA0" w:rsidRPr="00217C55" w:rsidRDefault="00197AA0" w:rsidP="00217C55">
      <w:pPr>
        <w:jc w:val="both"/>
        <w:rPr>
          <w:rFonts w:ascii="Arial" w:hAnsi="Arial" w:cs="Arial"/>
          <w:sz w:val="18"/>
          <w:szCs w:val="18"/>
        </w:rPr>
      </w:pPr>
    </w:p>
    <w:p w:rsidR="00197AA0" w:rsidRPr="00217C55" w:rsidRDefault="00197AA0" w:rsidP="00217C55">
      <w:pPr>
        <w:jc w:val="both"/>
        <w:rPr>
          <w:rFonts w:ascii="Arial" w:hAnsi="Arial" w:cs="Arial"/>
          <w:sz w:val="18"/>
          <w:szCs w:val="18"/>
        </w:rPr>
      </w:pP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b/>
          <w:sz w:val="18"/>
          <w:szCs w:val="18"/>
        </w:rPr>
        <w:t>Tesis</w:t>
      </w:r>
      <w:r w:rsidRPr="00217C55">
        <w:rPr>
          <w:rFonts w:ascii="Arial" w:hAnsi="Arial" w:cs="Arial"/>
          <w:sz w:val="18"/>
          <w:szCs w:val="18"/>
        </w:rPr>
        <w:t xml:space="preserve"> </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CASTANEDA LAZO, Ana Bertha, </w:t>
      </w:r>
      <w:r w:rsidRPr="00217C55">
        <w:rPr>
          <w:rFonts w:ascii="Arial" w:hAnsi="Arial" w:cs="Arial"/>
          <w:i/>
          <w:sz w:val="18"/>
          <w:szCs w:val="18"/>
        </w:rPr>
        <w:t>et al.</w:t>
      </w:r>
      <w:r w:rsidRPr="00217C55">
        <w:rPr>
          <w:rFonts w:ascii="Arial" w:hAnsi="Arial" w:cs="Arial"/>
          <w:sz w:val="18"/>
          <w:szCs w:val="18"/>
        </w:rPr>
        <w:t xml:space="preserve"> </w:t>
      </w:r>
      <w:r w:rsidRPr="00217C55">
        <w:rPr>
          <w:rFonts w:ascii="Arial" w:hAnsi="Arial" w:cs="Arial"/>
          <w:i/>
          <w:sz w:val="18"/>
          <w:szCs w:val="18"/>
        </w:rPr>
        <w:t>Perspectivas del desarrollo portuario en El Salvador</w:t>
      </w:r>
      <w:r w:rsidRPr="00217C55">
        <w:rPr>
          <w:rFonts w:ascii="Arial" w:hAnsi="Arial" w:cs="Arial"/>
          <w:sz w:val="18"/>
          <w:szCs w:val="18"/>
        </w:rPr>
        <w:t>, Facultad de Ciencias Económicas y Empresariales, Universidad Centroamericana José Simeón Cañas. 2008.</w:t>
      </w:r>
    </w:p>
    <w:p w:rsidR="00197AA0" w:rsidRPr="00217C55" w:rsidRDefault="00197AA0" w:rsidP="00217C55">
      <w:pPr>
        <w:jc w:val="both"/>
        <w:rPr>
          <w:rFonts w:ascii="Arial" w:hAnsi="Arial" w:cs="Arial"/>
          <w:sz w:val="18"/>
          <w:szCs w:val="18"/>
        </w:rPr>
      </w:pPr>
    </w:p>
    <w:p w:rsidR="00197AA0" w:rsidRPr="00217C55" w:rsidRDefault="001D7573" w:rsidP="00217C55">
      <w:pPr>
        <w:jc w:val="both"/>
        <w:rPr>
          <w:rFonts w:ascii="Arial" w:hAnsi="Arial" w:cs="Arial"/>
          <w:sz w:val="18"/>
          <w:szCs w:val="18"/>
          <w:lang w:val="es-SV"/>
        </w:rPr>
      </w:pPr>
      <w:r>
        <w:rPr>
          <w:rFonts w:ascii="Arial" w:hAnsi="Arial" w:cs="Arial"/>
          <w:noProof/>
          <w:sz w:val="18"/>
          <w:szCs w:val="18"/>
        </w:rPr>
        <w:pict>
          <v:shape id="_x0000_s1202" type="#_x0000_t202" style="position:absolute;left:0;text-align:left;margin-left:180.35pt;margin-top:40.3pt;width:48.4pt;height:21pt;z-index:251832320;mso-height-percent:200;mso-height-percent:200;mso-width-relative:margin;mso-height-relative:margin" fillcolor="white [3212]" stroked="f">
            <v:textbox style="mso-next-textbox:#_x0000_s1202;mso-fit-shape-to-text:t">
              <w:txbxContent>
                <w:p w:rsidR="00AC7D7B" w:rsidRDefault="00AC7D7B" w:rsidP="007467DF">
                  <w:r>
                    <w:t>154</w:t>
                  </w:r>
                </w:p>
              </w:txbxContent>
            </v:textbox>
          </v:shape>
        </w:pict>
      </w:r>
      <w:r w:rsidR="00197AA0" w:rsidRPr="00217C55">
        <w:rPr>
          <w:rFonts w:ascii="Arial" w:hAnsi="Arial" w:cs="Arial"/>
          <w:sz w:val="18"/>
          <w:szCs w:val="18"/>
          <w:lang w:val="es-SV"/>
        </w:rPr>
        <w:t xml:space="preserve">COSTA R., Carles. </w:t>
      </w:r>
      <w:r w:rsidR="00197AA0" w:rsidRPr="00217C55">
        <w:rPr>
          <w:rFonts w:ascii="Arial" w:hAnsi="Arial" w:cs="Arial"/>
          <w:i/>
          <w:sz w:val="18"/>
          <w:szCs w:val="18"/>
          <w:lang w:val="es-SV"/>
        </w:rPr>
        <w:t>Los puertos en el transporte marítimo</w:t>
      </w:r>
      <w:r w:rsidR="00197AA0" w:rsidRPr="00217C55">
        <w:rPr>
          <w:rFonts w:ascii="Arial" w:hAnsi="Arial" w:cs="Arial"/>
          <w:sz w:val="18"/>
          <w:szCs w:val="18"/>
          <w:lang w:val="es-SV"/>
        </w:rPr>
        <w:t>, Universidad Politécnica de Catalunya, España, 2006.</w:t>
      </w:r>
    </w:p>
    <w:p w:rsidR="00197AA0" w:rsidRPr="00217C55" w:rsidRDefault="00197AA0" w:rsidP="00217C55">
      <w:pPr>
        <w:jc w:val="both"/>
        <w:rPr>
          <w:rFonts w:ascii="Arial" w:hAnsi="Arial" w:cs="Arial"/>
          <w:sz w:val="18"/>
          <w:szCs w:val="18"/>
          <w:lang w:val="es-SV"/>
        </w:rPr>
      </w:pPr>
      <w:r w:rsidRPr="00217C55">
        <w:rPr>
          <w:rFonts w:ascii="Arial" w:hAnsi="Arial" w:cs="Arial"/>
          <w:sz w:val="18"/>
          <w:szCs w:val="18"/>
          <w:lang w:val="es-SV"/>
        </w:rPr>
        <w:t xml:space="preserve">VALLE TORRES, Mayra Gisela; </w:t>
      </w:r>
      <w:r w:rsidRPr="00217C55">
        <w:rPr>
          <w:rFonts w:ascii="Arial" w:hAnsi="Arial" w:cs="Arial"/>
          <w:i/>
          <w:sz w:val="18"/>
          <w:szCs w:val="18"/>
          <w:lang w:val="es-SV"/>
        </w:rPr>
        <w:t>et al.</w:t>
      </w:r>
      <w:r w:rsidRPr="00217C55">
        <w:rPr>
          <w:rFonts w:ascii="Arial" w:hAnsi="Arial" w:cs="Arial"/>
          <w:sz w:val="18"/>
          <w:szCs w:val="18"/>
          <w:lang w:val="es-SV"/>
        </w:rPr>
        <w:t xml:space="preserve"> </w:t>
      </w:r>
      <w:r w:rsidRPr="00217C55">
        <w:rPr>
          <w:rFonts w:ascii="Arial" w:hAnsi="Arial" w:cs="Arial"/>
          <w:i/>
          <w:sz w:val="18"/>
          <w:szCs w:val="18"/>
          <w:lang w:val="es-SV"/>
        </w:rPr>
        <w:t>Estudio comparativo entre España y El Salvador sobre la incidencia de la legislación internacional, en materia de contaminación marina por vertidos de petróleo</w:t>
      </w:r>
      <w:r w:rsidRPr="00217C55">
        <w:rPr>
          <w:rFonts w:ascii="Arial" w:hAnsi="Arial" w:cs="Arial"/>
          <w:sz w:val="18"/>
          <w:szCs w:val="18"/>
          <w:lang w:val="es-SV"/>
        </w:rPr>
        <w:t xml:space="preserve">, Tesis de Licenciatura en Relaciones Internacionales de la Facultad de Jurisprudencia y Ciencias Sociales de la Universidad de El Salvador, El Salvador, 12 de junio del 2008.  </w:t>
      </w:r>
    </w:p>
    <w:p w:rsidR="00197AA0" w:rsidRPr="00217C55" w:rsidRDefault="00197AA0" w:rsidP="00217C55">
      <w:pPr>
        <w:jc w:val="both"/>
        <w:rPr>
          <w:rFonts w:ascii="Arial" w:hAnsi="Arial" w:cs="Arial"/>
          <w:sz w:val="18"/>
          <w:szCs w:val="18"/>
          <w:lang w:val="es-SV"/>
        </w:rPr>
      </w:pPr>
    </w:p>
    <w:p w:rsidR="00197AA0" w:rsidRPr="00217C55" w:rsidRDefault="00197AA0" w:rsidP="00217C55">
      <w:pPr>
        <w:jc w:val="both"/>
        <w:rPr>
          <w:rFonts w:ascii="Arial" w:hAnsi="Arial" w:cs="Arial"/>
          <w:sz w:val="18"/>
          <w:szCs w:val="18"/>
        </w:rPr>
      </w:pPr>
      <w:r w:rsidRPr="00217C55">
        <w:rPr>
          <w:rFonts w:ascii="Arial" w:hAnsi="Arial" w:cs="Arial"/>
          <w:b/>
          <w:sz w:val="18"/>
          <w:szCs w:val="18"/>
        </w:rPr>
        <w:t>Revistas</w:t>
      </w:r>
    </w:p>
    <w:p w:rsidR="00197AA0" w:rsidRPr="00217C55" w:rsidRDefault="00197AA0" w:rsidP="00217C55">
      <w:pPr>
        <w:pStyle w:val="Textonotapie"/>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AMP. </w:t>
      </w:r>
      <w:r w:rsidRPr="00217C55">
        <w:rPr>
          <w:rFonts w:ascii="Arial" w:hAnsi="Arial" w:cs="Arial"/>
          <w:i/>
          <w:sz w:val="18"/>
          <w:szCs w:val="18"/>
        </w:rPr>
        <w:t xml:space="preserve">Propuesta de Política Marítimo Portuaria, </w:t>
      </w:r>
      <w:r w:rsidRPr="00217C55">
        <w:rPr>
          <w:rFonts w:ascii="Arial" w:hAnsi="Arial" w:cs="Arial"/>
          <w:sz w:val="18"/>
          <w:szCs w:val="18"/>
        </w:rPr>
        <w:t>El Salvador, 2008.</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CEPAL. </w:t>
      </w:r>
      <w:r w:rsidRPr="00217C55">
        <w:rPr>
          <w:rFonts w:ascii="Arial" w:hAnsi="Arial" w:cs="Arial"/>
          <w:i/>
          <w:sz w:val="18"/>
          <w:szCs w:val="18"/>
        </w:rPr>
        <w:t xml:space="preserve">Movimiento portuario de contenedores en América Latina cayó 6,8% en 2009, </w:t>
      </w:r>
      <w:r w:rsidRPr="00217C55">
        <w:rPr>
          <w:rFonts w:ascii="Arial" w:hAnsi="Arial" w:cs="Arial"/>
          <w:sz w:val="18"/>
          <w:szCs w:val="18"/>
        </w:rPr>
        <w:t>Servicios de información, Santiago de Chile, abril 2010.</w:t>
      </w:r>
    </w:p>
    <w:p w:rsidR="00197AA0"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CIP, Boletín Interamericano de Puertos, N° 19, 2008.</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CIP, Boletín Interamericano de Puertos, N° 29, 2010.</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COCATRAM. </w:t>
      </w:r>
      <w:r w:rsidRPr="00217C55">
        <w:rPr>
          <w:rFonts w:ascii="Arial" w:hAnsi="Arial" w:cs="Arial"/>
          <w:i/>
          <w:sz w:val="18"/>
          <w:szCs w:val="18"/>
        </w:rPr>
        <w:t>Estrategia Marítima Portuaria Regional Centroamericana,</w:t>
      </w:r>
      <w:r w:rsidRPr="00217C55">
        <w:rPr>
          <w:rFonts w:ascii="Arial" w:hAnsi="Arial" w:cs="Arial"/>
          <w:sz w:val="18"/>
          <w:szCs w:val="18"/>
        </w:rPr>
        <w:t xml:space="preserve"> publicaciones SICA, 2009. </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COCATRAM. </w:t>
      </w:r>
      <w:r w:rsidRPr="00217C55">
        <w:rPr>
          <w:rFonts w:ascii="Arial" w:hAnsi="Arial" w:cs="Arial"/>
          <w:i/>
          <w:sz w:val="18"/>
          <w:szCs w:val="18"/>
        </w:rPr>
        <w:t xml:space="preserve">Manual de Puertos de Centroamérica, </w:t>
      </w:r>
      <w:r w:rsidRPr="00217C55">
        <w:rPr>
          <w:rFonts w:ascii="Arial" w:hAnsi="Arial" w:cs="Arial"/>
          <w:sz w:val="18"/>
          <w:szCs w:val="18"/>
        </w:rPr>
        <w:t>publicaciones Landmarine, 2010.</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Defensa Civil Colombiana. </w:t>
      </w:r>
      <w:r w:rsidRPr="00217C55">
        <w:rPr>
          <w:rFonts w:ascii="Arial" w:hAnsi="Arial" w:cs="Arial"/>
          <w:i/>
          <w:sz w:val="18"/>
          <w:szCs w:val="18"/>
        </w:rPr>
        <w:t>Derrame de Hidrocarburos</w:t>
      </w:r>
      <w:r w:rsidRPr="00217C55">
        <w:rPr>
          <w:rFonts w:ascii="Arial" w:hAnsi="Arial" w:cs="Arial"/>
          <w:sz w:val="18"/>
          <w:szCs w:val="18"/>
        </w:rPr>
        <w:t>, Oficina de prevención, atención de desastres y acción integral, Bogotá, Colombia. 2009.</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lang w:val="es-SV"/>
        </w:rPr>
      </w:pPr>
      <w:r w:rsidRPr="00217C55">
        <w:rPr>
          <w:rFonts w:ascii="Arial" w:hAnsi="Arial" w:cs="Arial"/>
          <w:sz w:val="18"/>
          <w:szCs w:val="18"/>
          <w:lang w:val="es-SV"/>
        </w:rPr>
        <w:t xml:space="preserve">FUSADES, </w:t>
      </w:r>
      <w:r w:rsidRPr="00217C55">
        <w:rPr>
          <w:rFonts w:ascii="Arial" w:hAnsi="Arial" w:cs="Arial"/>
          <w:i/>
          <w:sz w:val="18"/>
          <w:szCs w:val="18"/>
          <w:lang w:val="es-SV"/>
        </w:rPr>
        <w:t>Consideraciones sobre el Derecho Marítimo Salvadoreño</w:t>
      </w:r>
      <w:r w:rsidRPr="00217C55">
        <w:rPr>
          <w:rFonts w:ascii="Arial" w:hAnsi="Arial" w:cs="Arial"/>
          <w:sz w:val="18"/>
          <w:szCs w:val="18"/>
          <w:lang w:val="es-SV"/>
        </w:rPr>
        <w:t>, Boletín de Estudios Legales, 2008.</w:t>
      </w:r>
    </w:p>
    <w:p w:rsidR="00197AA0" w:rsidRPr="00217C55" w:rsidRDefault="00197AA0" w:rsidP="00217C55">
      <w:pPr>
        <w:jc w:val="both"/>
        <w:rPr>
          <w:rFonts w:ascii="Arial" w:hAnsi="Arial" w:cs="Arial"/>
          <w:sz w:val="18"/>
          <w:szCs w:val="18"/>
          <w:lang w:val="es-SV"/>
        </w:rPr>
      </w:pPr>
    </w:p>
    <w:p w:rsidR="00197AA0" w:rsidRPr="00217C55" w:rsidRDefault="00197AA0" w:rsidP="00217C55">
      <w:pPr>
        <w:pStyle w:val="Textonotapie"/>
        <w:jc w:val="both"/>
        <w:rPr>
          <w:rFonts w:ascii="Arial" w:hAnsi="Arial" w:cs="Arial"/>
          <w:sz w:val="18"/>
          <w:szCs w:val="18"/>
        </w:rPr>
      </w:pPr>
      <w:r w:rsidRPr="00217C55">
        <w:rPr>
          <w:rFonts w:ascii="Arial" w:hAnsi="Arial" w:cs="Arial"/>
          <w:sz w:val="18"/>
          <w:szCs w:val="18"/>
        </w:rPr>
        <w:t xml:space="preserve">FUSADES. </w:t>
      </w:r>
      <w:r w:rsidRPr="00217C55">
        <w:rPr>
          <w:rFonts w:ascii="Arial" w:hAnsi="Arial" w:cs="Arial"/>
          <w:i/>
          <w:sz w:val="18"/>
          <w:szCs w:val="18"/>
        </w:rPr>
        <w:t>Consideraciones sobre el Derecho Marítimo Salvadoreño,</w:t>
      </w:r>
      <w:r w:rsidRPr="00217C55">
        <w:rPr>
          <w:rFonts w:ascii="Arial" w:hAnsi="Arial" w:cs="Arial"/>
          <w:sz w:val="18"/>
          <w:szCs w:val="18"/>
        </w:rPr>
        <w:t xml:space="preserve"> Departamento de Estudios Legales, Boletín numero 90, 2008.</w:t>
      </w:r>
    </w:p>
    <w:p w:rsidR="00197AA0" w:rsidRPr="00217C55" w:rsidRDefault="00197AA0" w:rsidP="00217C55">
      <w:pPr>
        <w:jc w:val="both"/>
        <w:rPr>
          <w:rFonts w:ascii="Arial" w:hAnsi="Arial" w:cs="Arial"/>
          <w:sz w:val="18"/>
          <w:szCs w:val="18"/>
        </w:rPr>
      </w:pPr>
    </w:p>
    <w:p w:rsidR="00197AA0" w:rsidRPr="00217C55" w:rsidRDefault="00197AA0" w:rsidP="00217C55">
      <w:pPr>
        <w:jc w:val="both"/>
        <w:rPr>
          <w:rFonts w:ascii="Arial" w:hAnsi="Arial" w:cs="Arial"/>
          <w:sz w:val="18"/>
          <w:szCs w:val="18"/>
        </w:rPr>
      </w:pPr>
      <w:r w:rsidRPr="00217C55">
        <w:rPr>
          <w:rFonts w:ascii="Arial" w:hAnsi="Arial" w:cs="Arial"/>
          <w:sz w:val="18"/>
          <w:szCs w:val="18"/>
        </w:rPr>
        <w:t xml:space="preserve">KINVER, Mark. </w:t>
      </w:r>
      <w:r w:rsidRPr="00217C55">
        <w:rPr>
          <w:rFonts w:ascii="Arial" w:hAnsi="Arial" w:cs="Arial"/>
          <w:i/>
          <w:sz w:val="18"/>
          <w:szCs w:val="18"/>
        </w:rPr>
        <w:t>Derrame del Exxon Valdez sigue en Alaska</w:t>
      </w:r>
      <w:r w:rsidRPr="00217C55">
        <w:rPr>
          <w:rFonts w:ascii="Arial" w:hAnsi="Arial" w:cs="Arial"/>
          <w:sz w:val="18"/>
          <w:szCs w:val="18"/>
        </w:rPr>
        <w:t>, BBC, artículo de periódico, 2004.</w:t>
      </w:r>
    </w:p>
    <w:p w:rsidR="00197AA0" w:rsidRPr="00217C55" w:rsidRDefault="00197AA0" w:rsidP="00217C55">
      <w:pPr>
        <w:pStyle w:val="Textonotapie"/>
        <w:jc w:val="both"/>
        <w:rPr>
          <w:rFonts w:ascii="Arial" w:hAnsi="Arial" w:cs="Arial"/>
          <w:sz w:val="18"/>
          <w:szCs w:val="18"/>
          <w:lang w:val="es-SV"/>
        </w:rPr>
      </w:pPr>
      <w:r w:rsidRPr="00217C55">
        <w:rPr>
          <w:rFonts w:ascii="Arial" w:hAnsi="Arial" w:cs="Arial"/>
          <w:sz w:val="18"/>
          <w:szCs w:val="18"/>
          <w:lang w:val="es-SV"/>
        </w:rPr>
        <w:lastRenderedPageBreak/>
        <w:t xml:space="preserve">Red de Estadísticas Portuarias Centroamericanas. </w:t>
      </w:r>
      <w:r w:rsidRPr="00217C55">
        <w:rPr>
          <w:rFonts w:ascii="Arial" w:hAnsi="Arial" w:cs="Arial"/>
          <w:i/>
          <w:sz w:val="18"/>
          <w:szCs w:val="18"/>
          <w:lang w:val="es-SV"/>
        </w:rPr>
        <w:t>Resumen estadístico portuario regional del istmo centroamericano</w:t>
      </w:r>
      <w:r w:rsidRPr="00217C55">
        <w:rPr>
          <w:rFonts w:ascii="Arial" w:hAnsi="Arial" w:cs="Arial"/>
          <w:sz w:val="18"/>
          <w:szCs w:val="18"/>
          <w:lang w:val="es-SV"/>
        </w:rPr>
        <w:t>, Revista de la COCATRAM, 2001.</w:t>
      </w:r>
    </w:p>
    <w:p w:rsidR="00197AA0" w:rsidRPr="00217C55" w:rsidRDefault="00197AA0" w:rsidP="00217C55">
      <w:pPr>
        <w:pStyle w:val="Textonotapie"/>
        <w:jc w:val="both"/>
        <w:rPr>
          <w:rFonts w:ascii="Arial" w:hAnsi="Arial" w:cs="Arial"/>
          <w:sz w:val="18"/>
          <w:szCs w:val="18"/>
          <w:lang w:val="es-SV"/>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Revista de la COCATRAM, 2008. Red de Estadísticas Portuarias Centroamericanas. </w:t>
      </w:r>
      <w:r w:rsidRPr="00217C55">
        <w:rPr>
          <w:rFonts w:ascii="Arial" w:hAnsi="Arial" w:cs="Arial"/>
          <w:i/>
          <w:sz w:val="18"/>
          <w:szCs w:val="18"/>
        </w:rPr>
        <w:t>Resumen estadístico portuario regional del istmo centroamericano</w:t>
      </w:r>
      <w:r w:rsidRPr="00217C55">
        <w:rPr>
          <w:rFonts w:ascii="Arial" w:hAnsi="Arial" w:cs="Arial"/>
          <w:sz w:val="18"/>
          <w:szCs w:val="18"/>
        </w:rPr>
        <w:t>.</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Revista de la COCATRAM, marzo 2004. Red de Estadísticas Portuarias Centroamericanas. </w:t>
      </w:r>
      <w:r w:rsidRPr="00217C55">
        <w:rPr>
          <w:rFonts w:ascii="Arial" w:hAnsi="Arial" w:cs="Arial"/>
          <w:i/>
          <w:sz w:val="18"/>
          <w:szCs w:val="18"/>
        </w:rPr>
        <w:t>Resumen estadístico portuario regional del istmo centroamericano</w:t>
      </w:r>
      <w:r w:rsidRPr="00217C55">
        <w:rPr>
          <w:rFonts w:ascii="Arial" w:hAnsi="Arial" w:cs="Arial"/>
          <w:sz w:val="18"/>
          <w:szCs w:val="18"/>
        </w:rPr>
        <w:t>.</w:t>
      </w:r>
    </w:p>
    <w:p w:rsidR="00197AA0" w:rsidRPr="00217C55" w:rsidRDefault="00197AA0" w:rsidP="00217C55">
      <w:pPr>
        <w:jc w:val="both"/>
        <w:rPr>
          <w:rFonts w:ascii="Arial" w:hAnsi="Arial" w:cs="Arial"/>
          <w:sz w:val="18"/>
          <w:szCs w:val="18"/>
        </w:rPr>
      </w:pPr>
    </w:p>
    <w:p w:rsidR="00197AA0" w:rsidRDefault="00197AA0" w:rsidP="00217C55">
      <w:pPr>
        <w:pStyle w:val="Textonotapie"/>
        <w:jc w:val="both"/>
        <w:rPr>
          <w:rFonts w:ascii="Arial" w:hAnsi="Arial" w:cs="Arial"/>
          <w:sz w:val="18"/>
          <w:szCs w:val="18"/>
        </w:rPr>
      </w:pPr>
      <w:r w:rsidRPr="00217C55">
        <w:rPr>
          <w:rFonts w:ascii="Arial" w:hAnsi="Arial" w:cs="Arial"/>
          <w:sz w:val="18"/>
          <w:szCs w:val="18"/>
        </w:rPr>
        <w:t xml:space="preserve">Revista día marítimo mundial 2008. OMI: </w:t>
      </w:r>
      <w:r w:rsidRPr="00217C55">
        <w:rPr>
          <w:rFonts w:ascii="Arial" w:hAnsi="Arial" w:cs="Arial"/>
          <w:i/>
          <w:sz w:val="18"/>
          <w:szCs w:val="18"/>
        </w:rPr>
        <w:t>60 años al servicio del transporte marítimo</w:t>
      </w:r>
      <w:r w:rsidRPr="00217C55">
        <w:rPr>
          <w:rFonts w:ascii="Arial" w:hAnsi="Arial" w:cs="Arial"/>
          <w:sz w:val="18"/>
          <w:szCs w:val="18"/>
        </w:rPr>
        <w:t xml:space="preserve">.  </w:t>
      </w:r>
    </w:p>
    <w:p w:rsidR="00197AA0" w:rsidRPr="00217C55" w:rsidRDefault="00197AA0" w:rsidP="00217C55">
      <w:pPr>
        <w:pStyle w:val="Textonotapie"/>
        <w:jc w:val="both"/>
        <w:rPr>
          <w:rFonts w:ascii="Arial" w:hAnsi="Arial" w:cs="Arial"/>
          <w:sz w:val="18"/>
          <w:szCs w:val="18"/>
        </w:rPr>
      </w:pPr>
    </w:p>
    <w:p w:rsidR="00197AA0" w:rsidRDefault="00197AA0" w:rsidP="00217C55">
      <w:pPr>
        <w:jc w:val="both"/>
        <w:rPr>
          <w:rFonts w:ascii="Arial" w:hAnsi="Arial" w:cs="Arial"/>
          <w:sz w:val="18"/>
          <w:szCs w:val="18"/>
          <w:lang w:val="es-SV"/>
        </w:rPr>
      </w:pPr>
      <w:r w:rsidRPr="00217C55">
        <w:rPr>
          <w:rFonts w:ascii="Arial" w:hAnsi="Arial" w:cs="Arial"/>
          <w:sz w:val="18"/>
          <w:szCs w:val="18"/>
          <w:lang w:val="es-SV"/>
        </w:rPr>
        <w:t xml:space="preserve">Revista Día marítimo mundial, 2004. MITROPOULOS, Efthimios. </w:t>
      </w:r>
      <w:r w:rsidRPr="00217C55">
        <w:rPr>
          <w:rFonts w:ascii="Arial" w:hAnsi="Arial" w:cs="Arial"/>
          <w:i/>
          <w:sz w:val="18"/>
          <w:szCs w:val="18"/>
          <w:lang w:val="es-SV"/>
        </w:rPr>
        <w:t>OMI 2004: La protección marítima como objetivo</w:t>
      </w:r>
      <w:r w:rsidRPr="00217C55">
        <w:rPr>
          <w:rFonts w:ascii="Arial" w:hAnsi="Arial" w:cs="Arial"/>
          <w:sz w:val="18"/>
          <w:szCs w:val="18"/>
          <w:lang w:val="es-SV"/>
        </w:rPr>
        <w:t>.</w:t>
      </w:r>
    </w:p>
    <w:p w:rsidR="00197AA0" w:rsidRPr="00217C55" w:rsidRDefault="00197AA0" w:rsidP="00217C55">
      <w:pPr>
        <w:jc w:val="both"/>
        <w:rPr>
          <w:rFonts w:ascii="Arial" w:hAnsi="Arial" w:cs="Arial"/>
          <w:sz w:val="18"/>
          <w:szCs w:val="18"/>
          <w:lang w:val="es-SV"/>
        </w:rPr>
      </w:pPr>
    </w:p>
    <w:p w:rsidR="00197AA0" w:rsidRDefault="00197AA0" w:rsidP="00217C55">
      <w:pPr>
        <w:jc w:val="both"/>
        <w:rPr>
          <w:rFonts w:ascii="Arial" w:hAnsi="Arial" w:cs="Arial"/>
          <w:i/>
          <w:sz w:val="18"/>
          <w:szCs w:val="18"/>
        </w:rPr>
      </w:pPr>
      <w:r w:rsidRPr="00217C55">
        <w:rPr>
          <w:rFonts w:ascii="Arial" w:hAnsi="Arial" w:cs="Arial"/>
          <w:sz w:val="18"/>
          <w:szCs w:val="18"/>
        </w:rPr>
        <w:t xml:space="preserve">Revista digital Mare Nostrum. ZAMORA T. Joan. </w:t>
      </w:r>
      <w:r w:rsidRPr="00217C55">
        <w:rPr>
          <w:rFonts w:ascii="Arial" w:hAnsi="Arial" w:cs="Arial"/>
          <w:i/>
          <w:sz w:val="18"/>
          <w:szCs w:val="18"/>
        </w:rPr>
        <w:t>La desgracia del Prestige.</w:t>
      </w:r>
    </w:p>
    <w:p w:rsidR="00197AA0" w:rsidRPr="00217C55" w:rsidRDefault="00197AA0" w:rsidP="00217C55">
      <w:pPr>
        <w:jc w:val="both"/>
        <w:rPr>
          <w:rStyle w:val="longtext"/>
          <w:rFonts w:ascii="Arial" w:hAnsi="Arial" w:cs="Arial"/>
          <w:i/>
          <w:sz w:val="18"/>
          <w:szCs w:val="18"/>
          <w:lang w:val="es-SV"/>
        </w:rPr>
      </w:pPr>
    </w:p>
    <w:p w:rsidR="00197AA0" w:rsidRDefault="00197AA0" w:rsidP="00217C55">
      <w:pPr>
        <w:jc w:val="both"/>
        <w:rPr>
          <w:rStyle w:val="articletitle"/>
          <w:rFonts w:ascii="Arial" w:hAnsi="Arial" w:cs="Arial"/>
          <w:sz w:val="18"/>
          <w:szCs w:val="18"/>
          <w:lang w:val="en-US"/>
        </w:rPr>
      </w:pPr>
      <w:r w:rsidRPr="00217C55">
        <w:rPr>
          <w:rStyle w:val="longtext"/>
          <w:rFonts w:ascii="Arial" w:hAnsi="Arial" w:cs="Arial"/>
          <w:sz w:val="18"/>
          <w:szCs w:val="18"/>
          <w:lang w:val="es-SV"/>
        </w:rPr>
        <w:t>Revista</w:t>
      </w:r>
      <w:r w:rsidRPr="00217C55">
        <w:rPr>
          <w:rStyle w:val="longtext"/>
          <w:rFonts w:ascii="Arial" w:hAnsi="Arial" w:cs="Arial"/>
          <w:sz w:val="18"/>
          <w:szCs w:val="18"/>
        </w:rPr>
        <w:t xml:space="preserve"> Professional Mariner. </w:t>
      </w:r>
      <w:r w:rsidRPr="00217C55">
        <w:rPr>
          <w:rStyle w:val="articletitle"/>
          <w:rFonts w:ascii="Arial" w:hAnsi="Arial" w:cs="Arial"/>
          <w:i/>
          <w:sz w:val="18"/>
          <w:szCs w:val="18"/>
          <w:lang w:val="en-GB"/>
        </w:rPr>
        <w:t xml:space="preserve">Torrey Canyon alerted the world to the dangers that lay ahead, </w:t>
      </w:r>
      <w:r w:rsidRPr="00217C55">
        <w:rPr>
          <w:rStyle w:val="articletitle"/>
          <w:rFonts w:ascii="Arial" w:hAnsi="Arial" w:cs="Arial"/>
          <w:sz w:val="18"/>
          <w:szCs w:val="18"/>
          <w:lang w:val="en-US"/>
        </w:rPr>
        <w:t>2007.</w:t>
      </w:r>
    </w:p>
    <w:p w:rsidR="00197AA0" w:rsidRPr="00217C55" w:rsidRDefault="00197AA0" w:rsidP="00217C55">
      <w:pPr>
        <w:jc w:val="both"/>
        <w:rPr>
          <w:rStyle w:val="articletitle"/>
          <w:rFonts w:ascii="Arial" w:hAnsi="Arial" w:cs="Arial"/>
          <w:sz w:val="18"/>
          <w:szCs w:val="18"/>
          <w:lang w:val="en-US"/>
        </w:rPr>
      </w:pPr>
    </w:p>
    <w:p w:rsidR="00197AA0" w:rsidRDefault="00197AA0" w:rsidP="00217C55">
      <w:pPr>
        <w:jc w:val="both"/>
        <w:rPr>
          <w:rFonts w:ascii="Arial" w:hAnsi="Arial" w:cs="Arial"/>
          <w:sz w:val="18"/>
          <w:szCs w:val="18"/>
        </w:rPr>
      </w:pPr>
      <w:r w:rsidRPr="00217C55">
        <w:rPr>
          <w:rFonts w:ascii="Arial" w:hAnsi="Arial" w:cs="Arial"/>
          <w:sz w:val="18"/>
          <w:szCs w:val="18"/>
          <w:lang w:val="en-US"/>
        </w:rPr>
        <w:t xml:space="preserve">World Wildlife Fund for Nature. </w:t>
      </w:r>
      <w:r w:rsidRPr="00217C55">
        <w:rPr>
          <w:rFonts w:ascii="Arial" w:hAnsi="Arial" w:cs="Arial"/>
          <w:i/>
          <w:sz w:val="18"/>
          <w:szCs w:val="18"/>
        </w:rPr>
        <w:t xml:space="preserve">Programa de Lucha Contra la Contaminación Marina por Hidrocarburos, </w:t>
      </w:r>
      <w:r w:rsidRPr="00217C55">
        <w:rPr>
          <w:rFonts w:ascii="Arial" w:hAnsi="Arial" w:cs="Arial"/>
          <w:sz w:val="18"/>
          <w:szCs w:val="18"/>
        </w:rPr>
        <w:t>Operativo Ergos, España, 2009.</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b/>
          <w:sz w:val="18"/>
          <w:szCs w:val="18"/>
        </w:rPr>
      </w:pPr>
      <w:r w:rsidRPr="00217C55">
        <w:rPr>
          <w:rFonts w:ascii="Arial" w:hAnsi="Arial" w:cs="Arial"/>
          <w:b/>
          <w:sz w:val="18"/>
          <w:szCs w:val="18"/>
        </w:rPr>
        <w:t>Notas de periódico</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BBC Mundo. </w:t>
      </w:r>
      <w:r w:rsidRPr="00217C55">
        <w:rPr>
          <w:rFonts w:ascii="Arial" w:hAnsi="Arial" w:cs="Arial"/>
          <w:i/>
          <w:sz w:val="18"/>
          <w:szCs w:val="18"/>
        </w:rPr>
        <w:t>Temen que derrame en Australia afecte la Gran Barrera de Coral</w:t>
      </w:r>
      <w:r w:rsidRPr="00217C55">
        <w:rPr>
          <w:rFonts w:ascii="Arial" w:hAnsi="Arial" w:cs="Arial"/>
          <w:sz w:val="18"/>
          <w:szCs w:val="18"/>
        </w:rPr>
        <w:t>, nota de periódico, 4 de abril de 2010.</w:t>
      </w:r>
    </w:p>
    <w:p w:rsidR="00197AA0" w:rsidRPr="00217C55" w:rsidRDefault="00197AA0" w:rsidP="00217C55">
      <w:pPr>
        <w:jc w:val="both"/>
        <w:rPr>
          <w:rFonts w:ascii="Arial" w:hAnsi="Arial" w:cs="Arial"/>
          <w:sz w:val="18"/>
          <w:szCs w:val="18"/>
        </w:rPr>
      </w:pPr>
    </w:p>
    <w:p w:rsidR="00197AA0" w:rsidRPr="00217C55" w:rsidRDefault="00197AA0" w:rsidP="00217C55">
      <w:pPr>
        <w:pStyle w:val="Textonotapie"/>
        <w:jc w:val="both"/>
        <w:rPr>
          <w:rFonts w:ascii="Arial" w:hAnsi="Arial" w:cs="Arial"/>
          <w:sz w:val="18"/>
          <w:szCs w:val="18"/>
        </w:rPr>
      </w:pPr>
      <w:r w:rsidRPr="00217C55">
        <w:rPr>
          <w:rFonts w:ascii="Arial" w:hAnsi="Arial" w:cs="Arial"/>
          <w:sz w:val="18"/>
          <w:szCs w:val="18"/>
        </w:rPr>
        <w:t xml:space="preserve">BBC Mundo. </w:t>
      </w:r>
      <w:r w:rsidRPr="00217C55">
        <w:rPr>
          <w:rFonts w:ascii="Arial" w:hAnsi="Arial" w:cs="Arial"/>
          <w:i/>
          <w:sz w:val="18"/>
          <w:szCs w:val="18"/>
        </w:rPr>
        <w:t>Cicatriz de 1 Km. En la Gran Barrera de Coral, carguero chino causó severos daños</w:t>
      </w:r>
      <w:r w:rsidRPr="00217C55">
        <w:rPr>
          <w:rFonts w:ascii="Arial" w:hAnsi="Arial" w:cs="Arial"/>
          <w:sz w:val="18"/>
          <w:szCs w:val="18"/>
        </w:rPr>
        <w:t>, nota de periódico, 13 de abril de 2010.</w:t>
      </w:r>
    </w:p>
    <w:p w:rsidR="00197AA0" w:rsidRPr="00217C55" w:rsidRDefault="00197AA0" w:rsidP="00217C55">
      <w:pPr>
        <w:pStyle w:val="Textonotapie"/>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 xml:space="preserve">El Clarín. </w:t>
      </w:r>
      <w:r w:rsidRPr="00217C55">
        <w:rPr>
          <w:rFonts w:ascii="Arial" w:hAnsi="Arial" w:cs="Arial"/>
          <w:i/>
          <w:sz w:val="18"/>
          <w:szCs w:val="18"/>
        </w:rPr>
        <w:t>A contrarreloj, intentan controlar el derrame de petróleo en la Gran Barrera de Coral</w:t>
      </w:r>
      <w:r w:rsidRPr="00217C55">
        <w:rPr>
          <w:rFonts w:ascii="Arial" w:hAnsi="Arial" w:cs="Arial"/>
          <w:sz w:val="18"/>
          <w:szCs w:val="18"/>
        </w:rPr>
        <w:t>, nota de periódico, 5 de abril de 2010</w:t>
      </w:r>
    </w:p>
    <w:p w:rsidR="00197AA0" w:rsidRPr="00217C55" w:rsidRDefault="001D7573" w:rsidP="00217C55">
      <w:pPr>
        <w:jc w:val="both"/>
        <w:rPr>
          <w:rFonts w:ascii="Arial" w:hAnsi="Arial" w:cs="Arial"/>
          <w:sz w:val="18"/>
          <w:szCs w:val="18"/>
        </w:rPr>
      </w:pPr>
      <w:r>
        <w:rPr>
          <w:rFonts w:ascii="Arial" w:hAnsi="Arial" w:cs="Arial"/>
          <w:noProof/>
          <w:sz w:val="18"/>
          <w:szCs w:val="18"/>
        </w:rPr>
        <w:pict>
          <v:shape id="_x0000_s1201" type="#_x0000_t202" style="position:absolute;left:0;text-align:left;margin-left:214.25pt;margin-top:49.5pt;width:45pt;height:21pt;z-index:251831296;mso-height-percent:200;mso-height-percent:200;mso-width-relative:margin;mso-height-relative:margin" fillcolor="white [3212]" stroked="f">
            <v:textbox style="mso-next-textbox:#_x0000_s1201;mso-fit-shape-to-text:t">
              <w:txbxContent>
                <w:p w:rsidR="00AC7D7B" w:rsidRDefault="00AC7D7B" w:rsidP="007467DF">
                  <w:r>
                    <w:t>155</w:t>
                  </w:r>
                </w:p>
              </w:txbxContent>
            </v:textbox>
          </v:shape>
        </w:pict>
      </w:r>
    </w:p>
    <w:p w:rsidR="00197AA0" w:rsidRDefault="00197AA0" w:rsidP="00217C55">
      <w:pPr>
        <w:jc w:val="both"/>
        <w:rPr>
          <w:rFonts w:ascii="Arial" w:hAnsi="Arial" w:cs="Arial"/>
          <w:sz w:val="18"/>
          <w:szCs w:val="18"/>
        </w:rPr>
      </w:pPr>
      <w:r w:rsidRPr="00217C55">
        <w:rPr>
          <w:rFonts w:ascii="Arial" w:hAnsi="Arial" w:cs="Arial"/>
          <w:sz w:val="18"/>
          <w:szCs w:val="18"/>
        </w:rPr>
        <w:t xml:space="preserve">HERNANDEZ G.; CHOTO D. </w:t>
      </w:r>
      <w:r w:rsidRPr="00217C55">
        <w:rPr>
          <w:rFonts w:ascii="Arial" w:hAnsi="Arial" w:cs="Arial"/>
          <w:i/>
          <w:sz w:val="18"/>
          <w:szCs w:val="18"/>
        </w:rPr>
        <w:t xml:space="preserve">Receta japonesa: concesión parcial, </w:t>
      </w:r>
      <w:r w:rsidRPr="00217C55">
        <w:rPr>
          <w:rFonts w:ascii="Arial" w:hAnsi="Arial" w:cs="Arial"/>
          <w:sz w:val="18"/>
          <w:szCs w:val="18"/>
        </w:rPr>
        <w:t>El Diario de Hoy, Artículo de periódico, 11 de mayo de 2010.</w:t>
      </w:r>
    </w:p>
    <w:p w:rsidR="00197AA0" w:rsidRPr="00217C55" w:rsidRDefault="00197AA0" w:rsidP="00217C55">
      <w:pPr>
        <w:jc w:val="both"/>
        <w:rPr>
          <w:rFonts w:ascii="Arial" w:hAnsi="Arial" w:cs="Arial"/>
          <w:sz w:val="18"/>
          <w:szCs w:val="18"/>
        </w:rPr>
      </w:pPr>
    </w:p>
    <w:p w:rsidR="00197AA0" w:rsidRPr="00217C55" w:rsidRDefault="00197AA0" w:rsidP="00217C55">
      <w:pPr>
        <w:jc w:val="both"/>
        <w:rPr>
          <w:rFonts w:ascii="Arial" w:hAnsi="Arial" w:cs="Arial"/>
          <w:sz w:val="18"/>
          <w:szCs w:val="18"/>
        </w:rPr>
      </w:pPr>
      <w:r w:rsidRPr="00217C55">
        <w:rPr>
          <w:rFonts w:ascii="Arial" w:hAnsi="Arial" w:cs="Arial"/>
          <w:sz w:val="18"/>
          <w:szCs w:val="18"/>
        </w:rPr>
        <w:t xml:space="preserve">Petronews. </w:t>
      </w:r>
      <w:r w:rsidRPr="00217C55">
        <w:rPr>
          <w:rFonts w:ascii="Arial" w:hAnsi="Arial" w:cs="Arial"/>
          <w:i/>
          <w:sz w:val="18"/>
          <w:szCs w:val="18"/>
        </w:rPr>
        <w:t>Buque coreano derramó 25 toneladas de petróleo en costas australianas</w:t>
      </w:r>
      <w:r w:rsidRPr="00217C55">
        <w:rPr>
          <w:rFonts w:ascii="Arial" w:hAnsi="Arial" w:cs="Arial"/>
          <w:sz w:val="18"/>
          <w:szCs w:val="18"/>
        </w:rPr>
        <w:t>, nota de periódico, 24 de enero de 2006.</w:t>
      </w:r>
    </w:p>
    <w:p w:rsidR="00197AA0" w:rsidRPr="00217C55" w:rsidRDefault="00197AA0" w:rsidP="00217C55">
      <w:pPr>
        <w:jc w:val="both"/>
        <w:rPr>
          <w:rFonts w:ascii="Arial" w:hAnsi="Arial" w:cs="Arial"/>
          <w:b/>
          <w:sz w:val="18"/>
          <w:szCs w:val="18"/>
        </w:rPr>
      </w:pPr>
    </w:p>
    <w:p w:rsidR="00197AA0" w:rsidRDefault="00197AA0" w:rsidP="00217C55">
      <w:pPr>
        <w:jc w:val="both"/>
        <w:rPr>
          <w:rFonts w:ascii="Arial" w:hAnsi="Arial" w:cs="Arial"/>
          <w:b/>
          <w:sz w:val="18"/>
          <w:szCs w:val="18"/>
        </w:rPr>
      </w:pPr>
      <w:r w:rsidRPr="00217C55">
        <w:rPr>
          <w:rFonts w:ascii="Arial" w:hAnsi="Arial" w:cs="Arial"/>
          <w:b/>
          <w:sz w:val="18"/>
          <w:szCs w:val="18"/>
        </w:rPr>
        <w:t>Entrevistas</w:t>
      </w:r>
    </w:p>
    <w:p w:rsidR="00197AA0" w:rsidRPr="00217C55" w:rsidRDefault="00197AA0" w:rsidP="00217C55">
      <w:pPr>
        <w:jc w:val="both"/>
        <w:rPr>
          <w:rFonts w:ascii="Arial" w:hAnsi="Arial" w:cs="Arial"/>
          <w:b/>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ENTREVISTA con Carlos Borja, Director Ejecutivo de la Autoridad Marítimo Portuaria, San Salvador, 9 de junio de 2010.</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ENTREVISTA con Freddy Villalta, Director de la Autoridad Marítimo Portuaria, San Salvador, 9 de junio de 2010.</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sz w:val="18"/>
          <w:szCs w:val="18"/>
        </w:rPr>
      </w:pPr>
      <w:r w:rsidRPr="00217C55">
        <w:rPr>
          <w:rFonts w:ascii="Arial" w:hAnsi="Arial" w:cs="Arial"/>
          <w:sz w:val="18"/>
          <w:szCs w:val="18"/>
        </w:rPr>
        <w:t>ENTREVISTA con Abelino Cruz, encargado en infraestructura en la terminal marítima del Puerto de La Unión, La Unión, 6 de julio de 2010.</w:t>
      </w:r>
    </w:p>
    <w:p w:rsidR="00197AA0" w:rsidRPr="00217C55" w:rsidRDefault="00197AA0" w:rsidP="00217C55">
      <w:pPr>
        <w:jc w:val="both"/>
        <w:rPr>
          <w:rFonts w:ascii="Arial" w:hAnsi="Arial" w:cs="Arial"/>
          <w:sz w:val="18"/>
          <w:szCs w:val="18"/>
        </w:rPr>
      </w:pPr>
    </w:p>
    <w:p w:rsidR="00197AA0" w:rsidRPr="00217C55" w:rsidRDefault="00197AA0" w:rsidP="00217C55">
      <w:pPr>
        <w:jc w:val="both"/>
        <w:rPr>
          <w:rFonts w:ascii="Arial" w:hAnsi="Arial" w:cs="Arial"/>
          <w:sz w:val="18"/>
          <w:szCs w:val="18"/>
        </w:rPr>
      </w:pPr>
      <w:r w:rsidRPr="00217C55">
        <w:rPr>
          <w:rFonts w:ascii="Arial" w:hAnsi="Arial" w:cs="Arial"/>
          <w:sz w:val="18"/>
          <w:szCs w:val="18"/>
        </w:rPr>
        <w:t>ENTREVISTA con Milton Lacayo, Gerente de la Comisión Ejecutiva Portuaria Autónoma, La Unión, 6 de julio de 2010.</w:t>
      </w:r>
    </w:p>
    <w:p w:rsidR="00197AA0" w:rsidRPr="00217C55" w:rsidRDefault="00197AA0" w:rsidP="00217C55">
      <w:pPr>
        <w:jc w:val="both"/>
        <w:rPr>
          <w:rFonts w:ascii="Arial" w:hAnsi="Arial" w:cs="Arial"/>
          <w:sz w:val="18"/>
          <w:szCs w:val="18"/>
        </w:rPr>
      </w:pPr>
    </w:p>
    <w:p w:rsidR="00197AA0" w:rsidRDefault="00197AA0" w:rsidP="00217C55">
      <w:pPr>
        <w:jc w:val="both"/>
        <w:rPr>
          <w:rFonts w:ascii="Arial" w:hAnsi="Arial" w:cs="Arial"/>
          <w:b/>
          <w:sz w:val="18"/>
          <w:szCs w:val="18"/>
        </w:rPr>
      </w:pPr>
      <w:r w:rsidRPr="00217C55">
        <w:rPr>
          <w:rFonts w:ascii="Arial" w:hAnsi="Arial" w:cs="Arial"/>
          <w:b/>
          <w:sz w:val="18"/>
          <w:szCs w:val="18"/>
        </w:rPr>
        <w:t>Páginas Web</w:t>
      </w:r>
    </w:p>
    <w:p w:rsidR="00197AA0" w:rsidRPr="00217C55" w:rsidRDefault="00197AA0" w:rsidP="00217C55">
      <w:pPr>
        <w:jc w:val="both"/>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20 Medidas adoptadas frente al Erika</w:t>
      </w:r>
    </w:p>
    <w:p w:rsidR="00197AA0" w:rsidRDefault="001D7573" w:rsidP="00217C55">
      <w:pPr>
        <w:jc w:val="both"/>
      </w:pPr>
      <w:hyperlink r:id="rId88" w:history="1">
        <w:r w:rsidR="00197AA0" w:rsidRPr="00217C55">
          <w:rPr>
            <w:rStyle w:val="Hipervnculo"/>
            <w:rFonts w:ascii="Arial" w:hAnsi="Arial" w:cs="Arial"/>
            <w:color w:val="auto"/>
            <w:sz w:val="18"/>
            <w:szCs w:val="18"/>
            <w:u w:val="none"/>
          </w:rPr>
          <w:t>http://www.muchapasta.com/b/var/Medidas20Erika.php</w:t>
        </w:r>
      </w:hyperlink>
    </w:p>
    <w:p w:rsidR="00197AA0" w:rsidRPr="00217C55" w:rsidRDefault="00197AA0" w:rsidP="00217C55">
      <w:pPr>
        <w:jc w:val="both"/>
        <w:rPr>
          <w:rFonts w:ascii="Arial" w:hAnsi="Arial" w:cs="Arial"/>
          <w:sz w:val="18"/>
          <w:szCs w:val="18"/>
        </w:rPr>
      </w:pPr>
    </w:p>
    <w:p w:rsidR="00197AA0" w:rsidRPr="00217C55" w:rsidRDefault="00197AA0" w:rsidP="00217C55">
      <w:pPr>
        <w:numPr>
          <w:ilvl w:val="0"/>
          <w:numId w:val="31"/>
        </w:numPr>
        <w:spacing w:after="200"/>
        <w:jc w:val="both"/>
        <w:rPr>
          <w:rStyle w:val="longtext"/>
          <w:rFonts w:ascii="Arial" w:hAnsi="Arial" w:cs="Arial"/>
          <w:sz w:val="18"/>
          <w:szCs w:val="18"/>
        </w:rPr>
      </w:pPr>
      <w:r w:rsidRPr="00217C55">
        <w:rPr>
          <w:rStyle w:val="longtext"/>
          <w:rFonts w:ascii="Arial" w:hAnsi="Arial" w:cs="Arial"/>
          <w:sz w:val="18"/>
          <w:szCs w:val="18"/>
        </w:rPr>
        <w:t xml:space="preserve">Accidentes significativos </w:t>
      </w:r>
    </w:p>
    <w:p w:rsidR="00197AA0" w:rsidRDefault="001D7573" w:rsidP="00217C55">
      <w:pPr>
        <w:jc w:val="both"/>
      </w:pPr>
      <w:hyperlink r:id="rId89" w:history="1">
        <w:r w:rsidR="00197AA0" w:rsidRPr="00217C55">
          <w:rPr>
            <w:rStyle w:val="Hipervnculo"/>
            <w:rFonts w:ascii="Arial" w:hAnsi="Arial" w:cs="Arial"/>
            <w:color w:val="auto"/>
            <w:sz w:val="18"/>
            <w:szCs w:val="18"/>
            <w:u w:val="none"/>
          </w:rPr>
          <w:t>http://www.mpr.es/NR/rdonlyres/86A56CA7-9C86-4F17-AD41 DB440E637DED/79698/AccidentesSignificativos1.pd</w:t>
        </w:r>
      </w:hyperlink>
      <w:r w:rsidR="00197AA0">
        <w:t>f</w:t>
      </w:r>
    </w:p>
    <w:p w:rsidR="00197AA0" w:rsidRPr="00217C55" w:rsidRDefault="00197AA0" w:rsidP="00217C55">
      <w:pPr>
        <w:jc w:val="both"/>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¿Arrecifes de corales en peligro?</w:t>
      </w:r>
    </w:p>
    <w:p w:rsidR="00197AA0" w:rsidRDefault="001D7573" w:rsidP="00217C55">
      <w:pPr>
        <w:jc w:val="both"/>
      </w:pPr>
      <w:hyperlink r:id="rId90" w:history="1">
        <w:r w:rsidR="00197AA0" w:rsidRPr="00217C55">
          <w:rPr>
            <w:rStyle w:val="Hipervnculo"/>
            <w:rFonts w:ascii="Arial" w:hAnsi="Arial" w:cs="Arial"/>
            <w:color w:val="auto"/>
            <w:sz w:val="18"/>
            <w:szCs w:val="18"/>
            <w:u w:val="none"/>
          </w:rPr>
          <w:t>http://cuidatumadretierra.blogspot.com/2010/05/arrecifes-de-corales-en-peligro.html</w:t>
        </w:r>
      </w:hyperlink>
    </w:p>
    <w:p w:rsidR="00197AA0" w:rsidRPr="00217C55" w:rsidRDefault="00197AA0" w:rsidP="00217C55">
      <w:pPr>
        <w:jc w:val="both"/>
        <w:rPr>
          <w:rFonts w:ascii="Arial" w:hAnsi="Arial" w:cs="Arial"/>
          <w:sz w:val="18"/>
          <w:szCs w:val="18"/>
        </w:rPr>
      </w:pPr>
    </w:p>
    <w:p w:rsidR="00197AA0" w:rsidRPr="00217C55" w:rsidRDefault="00197AA0" w:rsidP="00217C55">
      <w:pPr>
        <w:pStyle w:val="Textonotapie"/>
        <w:numPr>
          <w:ilvl w:val="0"/>
          <w:numId w:val="31"/>
        </w:numPr>
        <w:suppressAutoHyphens w:val="0"/>
        <w:jc w:val="both"/>
        <w:rPr>
          <w:rFonts w:ascii="Arial" w:hAnsi="Arial" w:cs="Arial"/>
          <w:sz w:val="18"/>
          <w:szCs w:val="18"/>
        </w:rPr>
      </w:pPr>
      <w:r w:rsidRPr="00217C55">
        <w:rPr>
          <w:rFonts w:ascii="Arial" w:hAnsi="Arial" w:cs="Arial"/>
          <w:sz w:val="18"/>
          <w:szCs w:val="18"/>
        </w:rPr>
        <w:t>Autoridad Marítimo Portuaria</w:t>
      </w:r>
    </w:p>
    <w:p w:rsidR="00197AA0" w:rsidRDefault="00197AA0" w:rsidP="00217C55">
      <w:pPr>
        <w:jc w:val="both"/>
        <w:rPr>
          <w:rFonts w:ascii="Arial" w:hAnsi="Arial" w:cs="Arial"/>
          <w:sz w:val="18"/>
          <w:szCs w:val="18"/>
          <w:lang w:val="en-US"/>
        </w:rPr>
      </w:pPr>
      <w:r w:rsidRPr="00217C55">
        <w:rPr>
          <w:rFonts w:ascii="Arial" w:hAnsi="Arial" w:cs="Arial"/>
          <w:sz w:val="18"/>
          <w:szCs w:val="18"/>
          <w:lang w:val="en-US"/>
        </w:rPr>
        <w:t>www.amp-elsalvador.org/ index.php?option=com_content&amp;task=view&amp;id=45&amp;Itemid=48</w:t>
      </w:r>
    </w:p>
    <w:p w:rsidR="00197AA0" w:rsidRPr="00217C55" w:rsidRDefault="00197AA0" w:rsidP="00217C55">
      <w:pPr>
        <w:jc w:val="both"/>
        <w:rPr>
          <w:rFonts w:ascii="Arial" w:hAnsi="Arial" w:cs="Arial"/>
          <w:sz w:val="18"/>
          <w:szCs w:val="18"/>
          <w:lang w:val="en-US"/>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Buque chino derrama combustible en la Gran Barrera de Coral en Australia</w:t>
      </w:r>
    </w:p>
    <w:p w:rsidR="00197AA0" w:rsidRDefault="001D7573" w:rsidP="00217C55">
      <w:pPr>
        <w:jc w:val="both"/>
      </w:pPr>
      <w:hyperlink r:id="rId91" w:history="1">
        <w:r w:rsidR="00197AA0" w:rsidRPr="00217C55">
          <w:rPr>
            <w:rStyle w:val="Hipervnculo"/>
            <w:rFonts w:ascii="Arial" w:hAnsi="Arial" w:cs="Arial"/>
            <w:color w:val="auto"/>
            <w:sz w:val="18"/>
            <w:szCs w:val="18"/>
            <w:u w:val="none"/>
          </w:rPr>
          <w:t>http://www.jornada.unam.mx/ultimas/2010/04/05/derrama-buque-chino-combustible-en-la-gran-barrera-de-coral-en-australia</w:t>
        </w:r>
      </w:hyperlink>
    </w:p>
    <w:p w:rsidR="00197AA0" w:rsidRPr="00217C55" w:rsidRDefault="00197AA0" w:rsidP="00217C55">
      <w:pPr>
        <w:jc w:val="both"/>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lang w:val="en-US"/>
        </w:rPr>
      </w:pPr>
      <w:r w:rsidRPr="00217C55">
        <w:rPr>
          <w:rFonts w:ascii="Arial" w:hAnsi="Arial" w:cs="Arial"/>
          <w:sz w:val="18"/>
          <w:szCs w:val="18"/>
          <w:lang w:val="en-US"/>
        </w:rPr>
        <w:t>Convenio Internacional sobre Normas de Formación, Titulación y Guardia (Standards of Training, Certification and Watchkeeping – STCW’95)</w:t>
      </w:r>
    </w:p>
    <w:p w:rsidR="00197AA0" w:rsidRDefault="001D7573" w:rsidP="00217C55">
      <w:pPr>
        <w:jc w:val="both"/>
      </w:pPr>
      <w:hyperlink r:id="rId92" w:history="1">
        <w:r w:rsidR="00197AA0" w:rsidRPr="00217C55">
          <w:rPr>
            <w:rStyle w:val="Hipervnculo"/>
            <w:rFonts w:ascii="Arial" w:hAnsi="Arial" w:cs="Arial"/>
            <w:color w:val="auto"/>
            <w:sz w:val="18"/>
            <w:szCs w:val="18"/>
            <w:u w:val="none"/>
            <w:lang w:val="en-US"/>
          </w:rPr>
          <w:t>http://www.ismshipping.com/espanol/articles/2001/stcw95-1.htm</w:t>
        </w:r>
      </w:hyperlink>
    </w:p>
    <w:p w:rsidR="00197AA0" w:rsidRPr="00217C55" w:rsidRDefault="00197AA0" w:rsidP="00217C55">
      <w:pPr>
        <w:jc w:val="both"/>
        <w:rPr>
          <w:rFonts w:ascii="Arial" w:hAnsi="Arial" w:cs="Arial"/>
          <w:sz w:val="18"/>
          <w:szCs w:val="18"/>
          <w:lang w:val="en-US"/>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bCs/>
          <w:sz w:val="18"/>
          <w:szCs w:val="18"/>
        </w:rPr>
        <w:t>El Convenio MARPOL73/78: Un estudio detallado</w:t>
      </w:r>
    </w:p>
    <w:p w:rsidR="00197AA0" w:rsidRDefault="001D7573" w:rsidP="00217C55">
      <w:pPr>
        <w:jc w:val="both"/>
      </w:pPr>
      <w:hyperlink r:id="rId93" w:history="1">
        <w:r w:rsidR="00197AA0" w:rsidRPr="00217C55">
          <w:rPr>
            <w:rStyle w:val="Hipervnculo"/>
            <w:rFonts w:ascii="Arial" w:hAnsi="Arial" w:cs="Arial"/>
            <w:color w:val="auto"/>
            <w:sz w:val="18"/>
            <w:szCs w:val="18"/>
            <w:u w:val="none"/>
            <w:lang w:val="es-SV"/>
          </w:rPr>
          <w:t>http://www.derechomaritimo.info/pagina/marpol.htm</w:t>
        </w:r>
      </w:hyperlink>
    </w:p>
    <w:p w:rsidR="00197AA0" w:rsidRPr="00217C55" w:rsidRDefault="00197AA0" w:rsidP="00217C55">
      <w:pPr>
        <w:jc w:val="both"/>
        <w:rPr>
          <w:rFonts w:ascii="Arial" w:hAnsi="Arial" w:cs="Arial"/>
          <w:sz w:val="18"/>
          <w:szCs w:val="18"/>
          <w:lang w:val="es-SV"/>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El desastre del Exxon Valdez</w:t>
      </w:r>
    </w:p>
    <w:p w:rsidR="00197AA0" w:rsidRDefault="001D7573" w:rsidP="00217C55">
      <w:pPr>
        <w:jc w:val="both"/>
      </w:pPr>
      <w:hyperlink r:id="rId94" w:history="1">
        <w:r w:rsidR="00197AA0" w:rsidRPr="00217C55">
          <w:rPr>
            <w:rStyle w:val="Hipervnculo"/>
            <w:rFonts w:ascii="Arial" w:hAnsi="Arial" w:cs="Arial"/>
            <w:color w:val="auto"/>
            <w:sz w:val="18"/>
            <w:szCs w:val="18"/>
            <w:u w:val="none"/>
          </w:rPr>
          <w:t>http://www.greenpeace.org/international/news/exxon-valdez-disaster-15</w:t>
        </w:r>
      </w:hyperlink>
    </w:p>
    <w:p w:rsidR="00197AA0" w:rsidRPr="00217C55" w:rsidRDefault="00197AA0" w:rsidP="00217C55">
      <w:pPr>
        <w:jc w:val="both"/>
        <w:rPr>
          <w:rFonts w:ascii="Arial" w:hAnsi="Arial" w:cs="Arial"/>
          <w:sz w:val="18"/>
          <w:szCs w:val="18"/>
        </w:rPr>
      </w:pPr>
    </w:p>
    <w:p w:rsidR="00197AA0" w:rsidRPr="00217C55" w:rsidRDefault="00197AA0" w:rsidP="00217C55">
      <w:pPr>
        <w:pStyle w:val="Textonotapie"/>
        <w:numPr>
          <w:ilvl w:val="0"/>
          <w:numId w:val="31"/>
        </w:numPr>
        <w:suppressAutoHyphens w:val="0"/>
        <w:rPr>
          <w:rFonts w:ascii="Arial" w:hAnsi="Arial" w:cs="Arial"/>
          <w:sz w:val="18"/>
          <w:szCs w:val="18"/>
        </w:rPr>
      </w:pPr>
      <w:r w:rsidRPr="00217C55">
        <w:rPr>
          <w:rFonts w:ascii="Arial" w:hAnsi="Arial" w:cs="Arial"/>
          <w:sz w:val="18"/>
          <w:szCs w:val="18"/>
        </w:rPr>
        <w:t>El Golfo de Fonseca</w:t>
      </w:r>
    </w:p>
    <w:p w:rsidR="00197AA0" w:rsidRPr="00217C55" w:rsidRDefault="00197AA0" w:rsidP="00217C55">
      <w:pPr>
        <w:pStyle w:val="Textonotapie"/>
        <w:ind w:left="644"/>
        <w:rPr>
          <w:rFonts w:ascii="Arial" w:hAnsi="Arial" w:cs="Arial"/>
          <w:sz w:val="18"/>
          <w:szCs w:val="18"/>
        </w:rPr>
      </w:pPr>
    </w:p>
    <w:p w:rsidR="00197AA0" w:rsidRPr="00217C55" w:rsidRDefault="001D7573" w:rsidP="00217C55">
      <w:pPr>
        <w:pStyle w:val="Textonotapie"/>
        <w:jc w:val="both"/>
        <w:rPr>
          <w:rFonts w:ascii="Arial" w:hAnsi="Arial" w:cs="Arial"/>
          <w:sz w:val="18"/>
          <w:szCs w:val="18"/>
        </w:rPr>
      </w:pPr>
      <w:hyperlink r:id="rId95" w:history="1">
        <w:r w:rsidR="00197AA0" w:rsidRPr="00217C55">
          <w:rPr>
            <w:rStyle w:val="Hipervnculo"/>
            <w:rFonts w:ascii="Arial" w:hAnsi="Arial" w:cs="Arial"/>
            <w:color w:val="auto"/>
            <w:sz w:val="18"/>
            <w:szCs w:val="18"/>
            <w:u w:val="none"/>
          </w:rPr>
          <w:t>http://www.puertolaunion.gob.sv/index.php?articulo=1021</w:t>
        </w:r>
      </w:hyperlink>
    </w:p>
    <w:p w:rsidR="00197AA0" w:rsidRPr="00217C55" w:rsidRDefault="00197AA0" w:rsidP="00217C55">
      <w:pPr>
        <w:pStyle w:val="Textonotapie"/>
        <w:jc w:val="both"/>
        <w:rPr>
          <w:rFonts w:ascii="Arial" w:hAnsi="Arial" w:cs="Arial"/>
          <w:sz w:val="18"/>
          <w:szCs w:val="18"/>
        </w:rPr>
      </w:pPr>
    </w:p>
    <w:p w:rsidR="00197AA0" w:rsidRPr="00217C55" w:rsidRDefault="001D7573" w:rsidP="00217C55">
      <w:pPr>
        <w:numPr>
          <w:ilvl w:val="0"/>
          <w:numId w:val="31"/>
        </w:numPr>
        <w:spacing w:after="200"/>
        <w:jc w:val="both"/>
        <w:rPr>
          <w:rFonts w:ascii="Arial" w:hAnsi="Arial" w:cs="Arial"/>
          <w:sz w:val="18"/>
          <w:szCs w:val="18"/>
        </w:rPr>
      </w:pPr>
      <w:r>
        <w:rPr>
          <w:rFonts w:ascii="Arial" w:hAnsi="Arial" w:cs="Arial"/>
          <w:noProof/>
          <w:sz w:val="18"/>
          <w:szCs w:val="18"/>
        </w:rPr>
        <w:pict>
          <v:shape id="_x0000_s1204" type="#_x0000_t202" style="position:absolute;left:0;text-align:left;margin-left:175.1pt;margin-top:46.4pt;width:48.4pt;height:21pt;z-index:251834368;mso-height-percent:200;mso-height-percent:200;mso-width-relative:margin;mso-height-relative:margin" fillcolor="white [3212]" stroked="f">
            <v:textbox style="mso-next-textbox:#_x0000_s1204;mso-fit-shape-to-text:t">
              <w:txbxContent>
                <w:p w:rsidR="00AC7D7B" w:rsidRDefault="00AC7D7B" w:rsidP="007467DF">
                  <w:r>
                    <w:t>156</w:t>
                  </w:r>
                </w:p>
              </w:txbxContent>
            </v:textbox>
          </v:shape>
        </w:pict>
      </w:r>
      <w:r w:rsidR="00197AA0" w:rsidRPr="00217C55">
        <w:rPr>
          <w:rFonts w:ascii="Arial" w:hAnsi="Arial" w:cs="Arial"/>
          <w:sz w:val="18"/>
          <w:szCs w:val="18"/>
        </w:rPr>
        <w:t>El Prestige</w:t>
      </w:r>
    </w:p>
    <w:p w:rsidR="00197AA0" w:rsidRDefault="001D7573" w:rsidP="00217C55">
      <w:pPr>
        <w:jc w:val="both"/>
      </w:pPr>
      <w:hyperlink r:id="rId96" w:history="1">
        <w:r w:rsidR="00197AA0" w:rsidRPr="00217C55">
          <w:rPr>
            <w:rStyle w:val="Hipervnculo"/>
            <w:rFonts w:ascii="Arial" w:hAnsi="Arial" w:cs="Arial"/>
            <w:color w:val="auto"/>
            <w:sz w:val="18"/>
            <w:szCs w:val="18"/>
            <w:u w:val="none"/>
          </w:rPr>
          <w:t>http://www.derechomaritimo.info/pagina/prestige.htm</w:t>
        </w:r>
      </w:hyperlink>
    </w:p>
    <w:p w:rsidR="00197AA0" w:rsidRPr="00217C55" w:rsidRDefault="00197AA0" w:rsidP="00217C55">
      <w:pPr>
        <w:jc w:val="both"/>
        <w:rPr>
          <w:rFonts w:ascii="Arial" w:hAnsi="Arial" w:cs="Arial"/>
          <w:sz w:val="18"/>
          <w:szCs w:val="18"/>
        </w:rPr>
      </w:pPr>
    </w:p>
    <w:p w:rsidR="00197AA0" w:rsidRPr="00217C55" w:rsidRDefault="00197AA0" w:rsidP="00217C55">
      <w:pPr>
        <w:pStyle w:val="Textonotapie"/>
        <w:numPr>
          <w:ilvl w:val="0"/>
          <w:numId w:val="31"/>
        </w:numPr>
        <w:suppressAutoHyphens w:val="0"/>
        <w:rPr>
          <w:rFonts w:ascii="Arial" w:hAnsi="Arial" w:cs="Arial"/>
          <w:sz w:val="18"/>
          <w:szCs w:val="18"/>
        </w:rPr>
      </w:pPr>
      <w:r w:rsidRPr="00217C55">
        <w:rPr>
          <w:rFonts w:ascii="Arial" w:hAnsi="Arial" w:cs="Arial"/>
          <w:sz w:val="18"/>
          <w:szCs w:val="18"/>
        </w:rPr>
        <w:t>El procedimiento marítimo</w:t>
      </w:r>
    </w:p>
    <w:p w:rsidR="00197AA0" w:rsidRPr="00217C55" w:rsidRDefault="00197AA0" w:rsidP="00217C55">
      <w:pPr>
        <w:pStyle w:val="Textonotapie"/>
        <w:ind w:left="644"/>
        <w:rPr>
          <w:rFonts w:ascii="Arial" w:hAnsi="Arial" w:cs="Arial"/>
          <w:sz w:val="18"/>
          <w:szCs w:val="18"/>
        </w:rPr>
      </w:pPr>
    </w:p>
    <w:p w:rsidR="00197AA0" w:rsidRPr="00217C55" w:rsidRDefault="001D7573" w:rsidP="00217C55">
      <w:pPr>
        <w:pStyle w:val="Textonotapie"/>
        <w:rPr>
          <w:rFonts w:ascii="Arial" w:hAnsi="Arial" w:cs="Arial"/>
          <w:sz w:val="18"/>
          <w:szCs w:val="18"/>
        </w:rPr>
      </w:pPr>
      <w:hyperlink r:id="rId97" w:history="1">
        <w:r w:rsidR="00197AA0" w:rsidRPr="00217C55">
          <w:rPr>
            <w:rStyle w:val="Hipervnculo"/>
            <w:rFonts w:ascii="Arial" w:hAnsi="Arial" w:cs="Arial"/>
            <w:color w:val="auto"/>
            <w:sz w:val="18"/>
            <w:szCs w:val="18"/>
            <w:u w:val="none"/>
          </w:rPr>
          <w:t>www.derechomaritimo.com.ve</w:t>
        </w:r>
      </w:hyperlink>
    </w:p>
    <w:p w:rsidR="00197AA0" w:rsidRPr="00217C55" w:rsidRDefault="00197AA0" w:rsidP="00217C55">
      <w:pPr>
        <w:pStyle w:val="Textonotapie"/>
        <w:rPr>
          <w:rFonts w:ascii="Arial" w:hAnsi="Arial" w:cs="Arial"/>
          <w:sz w:val="18"/>
          <w:szCs w:val="18"/>
        </w:rPr>
      </w:pPr>
    </w:p>
    <w:p w:rsidR="00197AA0" w:rsidRPr="00217C55" w:rsidRDefault="00197AA0" w:rsidP="00217C55">
      <w:pPr>
        <w:pStyle w:val="Textonotapie"/>
        <w:numPr>
          <w:ilvl w:val="0"/>
          <w:numId w:val="31"/>
        </w:numPr>
        <w:suppressAutoHyphens w:val="0"/>
        <w:jc w:val="both"/>
        <w:rPr>
          <w:rFonts w:ascii="Arial" w:hAnsi="Arial" w:cs="Arial"/>
          <w:sz w:val="18"/>
          <w:szCs w:val="18"/>
          <w:lang w:val="en-US"/>
        </w:rPr>
      </w:pPr>
      <w:r w:rsidRPr="00217C55">
        <w:rPr>
          <w:rFonts w:ascii="Arial" w:hAnsi="Arial" w:cs="Arial"/>
          <w:sz w:val="18"/>
          <w:szCs w:val="18"/>
          <w:lang w:val="en-US"/>
        </w:rPr>
        <w:t>El Puerto de Cutuco</w:t>
      </w:r>
    </w:p>
    <w:p w:rsidR="00197AA0" w:rsidRPr="00217C55" w:rsidRDefault="00197AA0" w:rsidP="00217C55">
      <w:pPr>
        <w:pStyle w:val="Textonotapie"/>
        <w:ind w:left="644"/>
        <w:jc w:val="both"/>
        <w:rPr>
          <w:rFonts w:ascii="Arial" w:hAnsi="Arial" w:cs="Arial"/>
          <w:sz w:val="18"/>
          <w:szCs w:val="18"/>
          <w:lang w:val="en-US"/>
        </w:rPr>
      </w:pPr>
    </w:p>
    <w:p w:rsidR="00197AA0" w:rsidRPr="00217C55" w:rsidRDefault="001D7573" w:rsidP="00217C55">
      <w:pPr>
        <w:pStyle w:val="Textonotapie"/>
        <w:jc w:val="both"/>
        <w:rPr>
          <w:rFonts w:ascii="Arial" w:hAnsi="Arial" w:cs="Arial"/>
          <w:sz w:val="18"/>
          <w:szCs w:val="18"/>
          <w:lang w:val="en-US"/>
        </w:rPr>
      </w:pPr>
      <w:hyperlink r:id="rId98" w:history="1">
        <w:r w:rsidR="00197AA0" w:rsidRPr="00217C55">
          <w:rPr>
            <w:rStyle w:val="Hipervnculo"/>
            <w:rFonts w:ascii="Arial" w:hAnsi="Arial" w:cs="Arial"/>
            <w:color w:val="auto"/>
            <w:sz w:val="18"/>
            <w:szCs w:val="18"/>
            <w:u w:val="none"/>
            <w:lang w:val="en-US"/>
          </w:rPr>
          <w:t>http://www.puertolaunion.gob.sv/?articulo=1000</w:t>
        </w:r>
      </w:hyperlink>
    </w:p>
    <w:p w:rsidR="00197AA0" w:rsidRPr="00217C55" w:rsidRDefault="00197AA0" w:rsidP="00217C55">
      <w:pPr>
        <w:pStyle w:val="Textonotapie"/>
        <w:rPr>
          <w:rFonts w:ascii="Arial" w:hAnsi="Arial" w:cs="Arial"/>
          <w:sz w:val="18"/>
          <w:szCs w:val="18"/>
          <w:lang w:val="en-US"/>
        </w:rPr>
      </w:pPr>
    </w:p>
    <w:p w:rsidR="00197AA0" w:rsidRPr="00217C55" w:rsidRDefault="00197AA0" w:rsidP="00217C55">
      <w:pPr>
        <w:pStyle w:val="Textonotapie"/>
        <w:numPr>
          <w:ilvl w:val="0"/>
          <w:numId w:val="31"/>
        </w:numPr>
        <w:suppressAutoHyphens w:val="0"/>
        <w:rPr>
          <w:rFonts w:ascii="Arial" w:hAnsi="Arial" w:cs="Arial"/>
          <w:sz w:val="18"/>
          <w:szCs w:val="18"/>
        </w:rPr>
      </w:pPr>
      <w:r w:rsidRPr="00217C55">
        <w:rPr>
          <w:rFonts w:ascii="Arial" w:hAnsi="Arial" w:cs="Arial"/>
          <w:sz w:val="18"/>
          <w:szCs w:val="18"/>
        </w:rPr>
        <w:t>El Puerto de La Unión</w:t>
      </w:r>
    </w:p>
    <w:p w:rsidR="00197AA0" w:rsidRPr="00217C55" w:rsidRDefault="00197AA0" w:rsidP="00217C55">
      <w:pPr>
        <w:pStyle w:val="Textonotapie"/>
        <w:ind w:left="644"/>
        <w:rPr>
          <w:rFonts w:ascii="Arial" w:hAnsi="Arial" w:cs="Arial"/>
          <w:sz w:val="18"/>
          <w:szCs w:val="18"/>
        </w:rPr>
      </w:pPr>
    </w:p>
    <w:p w:rsidR="00197AA0" w:rsidRPr="00217C55" w:rsidRDefault="001D7573" w:rsidP="00217C55">
      <w:pPr>
        <w:pStyle w:val="Textonotapie"/>
        <w:rPr>
          <w:rFonts w:ascii="Arial" w:hAnsi="Arial" w:cs="Arial"/>
          <w:sz w:val="18"/>
          <w:szCs w:val="18"/>
        </w:rPr>
      </w:pPr>
      <w:hyperlink r:id="rId99" w:history="1">
        <w:r w:rsidR="00197AA0" w:rsidRPr="00217C55">
          <w:rPr>
            <w:rStyle w:val="Hipervnculo"/>
            <w:rFonts w:ascii="Arial" w:hAnsi="Arial" w:cs="Arial"/>
            <w:color w:val="auto"/>
            <w:sz w:val="18"/>
            <w:szCs w:val="18"/>
            <w:u w:val="none"/>
          </w:rPr>
          <w:t>http://www.elpuertodelaunion.com</w:t>
        </w:r>
      </w:hyperlink>
    </w:p>
    <w:p w:rsidR="00197AA0" w:rsidRPr="00217C55" w:rsidRDefault="00197AA0" w:rsidP="00217C55">
      <w:pPr>
        <w:pStyle w:val="Textonotapie"/>
        <w:jc w:val="both"/>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El Salvador inaugura Puerto La Unión con miras a concesionarlo</w:t>
      </w:r>
    </w:p>
    <w:p w:rsidR="00197AA0" w:rsidRDefault="001D7573" w:rsidP="00217C55">
      <w:pPr>
        <w:jc w:val="both"/>
      </w:pPr>
      <w:hyperlink r:id="rId100" w:history="1">
        <w:r w:rsidR="00197AA0" w:rsidRPr="00217C55">
          <w:rPr>
            <w:rStyle w:val="Hipervnculo"/>
            <w:rFonts w:ascii="Arial" w:hAnsi="Arial" w:cs="Arial"/>
            <w:color w:val="auto"/>
            <w:sz w:val="18"/>
            <w:szCs w:val="18"/>
            <w:u w:val="none"/>
          </w:rPr>
          <w:t>http://www.revistasumma.com/economia/3872-el-salvador-inaugura-puerto-la-union-con-miras-a-concesionarlo.html</w:t>
        </w:r>
      </w:hyperlink>
    </w:p>
    <w:p w:rsidR="00197AA0" w:rsidRPr="00217C55" w:rsidRDefault="00197AA0" w:rsidP="00217C55">
      <w:pPr>
        <w:jc w:val="both"/>
        <w:rPr>
          <w:rFonts w:ascii="Arial" w:hAnsi="Arial" w:cs="Arial"/>
          <w:sz w:val="18"/>
          <w:szCs w:val="18"/>
        </w:rPr>
      </w:pPr>
    </w:p>
    <w:p w:rsidR="00197AA0" w:rsidRPr="00217C55" w:rsidRDefault="00197AA0" w:rsidP="00217C55">
      <w:pPr>
        <w:pStyle w:val="Textonotapie"/>
        <w:numPr>
          <w:ilvl w:val="0"/>
          <w:numId w:val="31"/>
        </w:numPr>
        <w:suppressAutoHyphens w:val="0"/>
        <w:jc w:val="both"/>
        <w:rPr>
          <w:rFonts w:ascii="Arial" w:hAnsi="Arial" w:cs="Arial"/>
          <w:sz w:val="18"/>
          <w:szCs w:val="18"/>
        </w:rPr>
      </w:pPr>
      <w:r w:rsidRPr="00217C55">
        <w:rPr>
          <w:rFonts w:ascii="Arial" w:hAnsi="Arial" w:cs="Arial"/>
          <w:sz w:val="18"/>
          <w:szCs w:val="18"/>
        </w:rPr>
        <w:t>Entorno inteligente</w:t>
      </w:r>
    </w:p>
    <w:p w:rsidR="00197AA0" w:rsidRPr="00217C55" w:rsidRDefault="00197AA0" w:rsidP="00217C55">
      <w:pPr>
        <w:pStyle w:val="Textonotapie"/>
        <w:ind w:left="644"/>
        <w:jc w:val="both"/>
        <w:rPr>
          <w:rFonts w:ascii="Arial" w:hAnsi="Arial" w:cs="Arial"/>
          <w:sz w:val="18"/>
          <w:szCs w:val="18"/>
        </w:rPr>
      </w:pPr>
    </w:p>
    <w:p w:rsidR="00197AA0" w:rsidRPr="00217C55" w:rsidRDefault="001D7573" w:rsidP="00217C55">
      <w:pPr>
        <w:pStyle w:val="Textonotapie"/>
        <w:jc w:val="both"/>
        <w:rPr>
          <w:rFonts w:ascii="Arial" w:hAnsi="Arial" w:cs="Arial"/>
          <w:sz w:val="18"/>
          <w:szCs w:val="18"/>
        </w:rPr>
      </w:pPr>
      <w:hyperlink r:id="rId101" w:history="1">
        <w:r w:rsidR="00197AA0" w:rsidRPr="00217C55">
          <w:rPr>
            <w:rStyle w:val="Hipervnculo"/>
            <w:rFonts w:ascii="Arial" w:hAnsi="Arial" w:cs="Arial"/>
            <w:color w:val="auto"/>
            <w:sz w:val="18"/>
            <w:szCs w:val="18"/>
            <w:u w:val="none"/>
          </w:rPr>
          <w:t>www.entornointeligente.com</w:t>
        </w:r>
      </w:hyperlink>
    </w:p>
    <w:p w:rsidR="00197AA0" w:rsidRPr="00217C55" w:rsidRDefault="00197AA0" w:rsidP="00217C55">
      <w:pPr>
        <w:pStyle w:val="Textonotapie"/>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Gobierno inaugura hoy el Puerto de La Unión</w:t>
      </w:r>
    </w:p>
    <w:p w:rsidR="00197AA0" w:rsidRDefault="001D7573" w:rsidP="00217C55">
      <w:pPr>
        <w:jc w:val="both"/>
      </w:pPr>
      <w:hyperlink r:id="rId102" w:history="1">
        <w:r w:rsidR="00197AA0" w:rsidRPr="00217C55">
          <w:rPr>
            <w:rStyle w:val="Hipervnculo"/>
            <w:rFonts w:ascii="Arial" w:hAnsi="Arial" w:cs="Arial"/>
            <w:color w:val="auto"/>
            <w:sz w:val="18"/>
            <w:szCs w:val="18"/>
            <w:u w:val="none"/>
          </w:rPr>
          <w:t>www.elmundo.com.sv/economia/557-gobierno-inaugura-hoy-el-puerto-de-la-union.html</w:t>
        </w:r>
      </w:hyperlink>
    </w:p>
    <w:p w:rsidR="00197AA0" w:rsidRPr="00217C55" w:rsidRDefault="00197AA0" w:rsidP="00217C55">
      <w:pPr>
        <w:jc w:val="both"/>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Historia de Acajutla</w:t>
      </w:r>
    </w:p>
    <w:p w:rsidR="00197AA0" w:rsidRDefault="001D7573" w:rsidP="00217C55">
      <w:pPr>
        <w:jc w:val="both"/>
      </w:pPr>
      <w:hyperlink r:id="rId103" w:history="1">
        <w:r w:rsidR="00197AA0" w:rsidRPr="00217C55">
          <w:rPr>
            <w:rStyle w:val="Hipervnculo"/>
            <w:rFonts w:ascii="Arial" w:hAnsi="Arial" w:cs="Arial"/>
            <w:color w:val="auto"/>
            <w:sz w:val="18"/>
            <w:szCs w:val="18"/>
            <w:u w:val="none"/>
          </w:rPr>
          <w:t>http://www.nuestroacajutla.com/acajutla.php</w:t>
        </w:r>
      </w:hyperlink>
    </w:p>
    <w:p w:rsidR="00197AA0" w:rsidRPr="00217C55" w:rsidRDefault="00197AA0" w:rsidP="00217C55">
      <w:pPr>
        <w:jc w:val="both"/>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lastRenderedPageBreak/>
        <w:t xml:space="preserve">Historia de CEPA </w:t>
      </w:r>
    </w:p>
    <w:p w:rsidR="00197AA0" w:rsidRDefault="001D7573" w:rsidP="00217C55">
      <w:pPr>
        <w:jc w:val="both"/>
      </w:pPr>
      <w:hyperlink r:id="rId104" w:history="1">
        <w:r w:rsidR="00197AA0" w:rsidRPr="00217C55">
          <w:rPr>
            <w:rStyle w:val="Hipervnculo"/>
            <w:rFonts w:ascii="Arial" w:hAnsi="Arial" w:cs="Arial"/>
            <w:color w:val="auto"/>
            <w:sz w:val="18"/>
            <w:szCs w:val="18"/>
            <w:u w:val="none"/>
          </w:rPr>
          <w:t>http://www.cepa.gob.sv/contenido.php?cont=16&amp;id=8</w:t>
        </w:r>
      </w:hyperlink>
    </w:p>
    <w:p w:rsidR="00197AA0" w:rsidRPr="00217C55" w:rsidRDefault="00197AA0" w:rsidP="00217C55">
      <w:pPr>
        <w:jc w:val="both"/>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La desgracia del Prestige</w:t>
      </w:r>
    </w:p>
    <w:p w:rsidR="00197AA0" w:rsidRDefault="001D7573" w:rsidP="00217C55">
      <w:pPr>
        <w:jc w:val="both"/>
      </w:pPr>
      <w:hyperlink r:id="rId105" w:history="1">
        <w:r w:rsidR="00197AA0" w:rsidRPr="00217C55">
          <w:rPr>
            <w:rStyle w:val="Hipervnculo"/>
            <w:rFonts w:ascii="Arial" w:hAnsi="Arial" w:cs="Arial"/>
            <w:color w:val="auto"/>
            <w:sz w:val="18"/>
            <w:szCs w:val="18"/>
            <w:u w:val="none"/>
          </w:rPr>
          <w:t>www.marenostrum.org/ecologia/medio_ambiente/prestige/desgracia5.htm</w:t>
        </w:r>
      </w:hyperlink>
    </w:p>
    <w:p w:rsidR="00197AA0" w:rsidRPr="00217C55" w:rsidRDefault="00197AA0" w:rsidP="00217C55">
      <w:pPr>
        <w:jc w:val="both"/>
        <w:rPr>
          <w:rFonts w:ascii="Arial" w:hAnsi="Arial" w:cs="Arial"/>
          <w:sz w:val="18"/>
          <w:szCs w:val="18"/>
        </w:rPr>
      </w:pPr>
    </w:p>
    <w:p w:rsidR="00197AA0" w:rsidRPr="00217C55" w:rsidRDefault="001D7573" w:rsidP="00217C55">
      <w:pPr>
        <w:numPr>
          <w:ilvl w:val="0"/>
          <w:numId w:val="31"/>
        </w:numPr>
        <w:spacing w:after="200"/>
        <w:jc w:val="both"/>
        <w:rPr>
          <w:rFonts w:ascii="Arial" w:hAnsi="Arial" w:cs="Arial"/>
          <w:bCs/>
          <w:sz w:val="18"/>
          <w:szCs w:val="18"/>
        </w:rPr>
      </w:pPr>
      <w:hyperlink r:id="rId106" w:history="1">
        <w:r w:rsidR="00197AA0" w:rsidRPr="00217C55">
          <w:rPr>
            <w:rStyle w:val="Hipervnculo"/>
            <w:rFonts w:ascii="Arial" w:hAnsi="Arial" w:cs="Arial"/>
            <w:bCs/>
            <w:color w:val="auto"/>
            <w:sz w:val="18"/>
            <w:szCs w:val="18"/>
            <w:u w:val="none"/>
          </w:rPr>
          <w:t>La Gran Barrera de Coral australiana en peligro</w:t>
        </w:r>
      </w:hyperlink>
    </w:p>
    <w:p w:rsidR="00197AA0" w:rsidRPr="00217C55" w:rsidRDefault="001D7573" w:rsidP="00217C55">
      <w:pPr>
        <w:pStyle w:val="Textonotapie"/>
        <w:jc w:val="both"/>
        <w:rPr>
          <w:rFonts w:ascii="Arial" w:hAnsi="Arial" w:cs="Arial"/>
          <w:sz w:val="18"/>
          <w:szCs w:val="18"/>
        </w:rPr>
      </w:pPr>
      <w:hyperlink r:id="rId107" w:history="1">
        <w:r w:rsidR="00197AA0" w:rsidRPr="00217C55">
          <w:rPr>
            <w:rStyle w:val="Hipervnculo"/>
            <w:rFonts w:ascii="Arial" w:hAnsi="Arial" w:cs="Arial"/>
            <w:color w:val="auto"/>
            <w:sz w:val="18"/>
            <w:szCs w:val="18"/>
            <w:u w:val="none"/>
          </w:rPr>
          <w:t>http://comunidad.uem.es/jose-maria-peredo/2010/4/6/la-gran-barrera-coral-australiana-peligro</w:t>
        </w:r>
      </w:hyperlink>
    </w:p>
    <w:p w:rsidR="00197AA0" w:rsidRPr="00217C55" w:rsidRDefault="00197AA0" w:rsidP="00217C55">
      <w:pPr>
        <w:pStyle w:val="Textonotapie"/>
        <w:jc w:val="both"/>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La llegada de La Boussole</w:t>
      </w:r>
    </w:p>
    <w:p w:rsidR="00197AA0" w:rsidRPr="00217C55" w:rsidRDefault="001D7573" w:rsidP="00217C55">
      <w:pPr>
        <w:pStyle w:val="Textonotapie"/>
        <w:rPr>
          <w:rFonts w:ascii="Arial" w:hAnsi="Arial" w:cs="Arial"/>
          <w:sz w:val="18"/>
          <w:szCs w:val="18"/>
          <w:lang w:val="es-MX"/>
        </w:rPr>
      </w:pPr>
      <w:hyperlink r:id="rId108" w:history="1">
        <w:r w:rsidR="00197AA0" w:rsidRPr="00217C55">
          <w:rPr>
            <w:rStyle w:val="Hipervnculo"/>
            <w:rFonts w:ascii="Arial" w:hAnsi="Arial" w:cs="Arial"/>
            <w:color w:val="auto"/>
            <w:sz w:val="18"/>
            <w:szCs w:val="18"/>
            <w:u w:val="none"/>
          </w:rPr>
          <w:t>http://www.laprensagrafica.com/economia/nacional/131004-la-llegada-de-la-boussole.html</w:t>
        </w:r>
      </w:hyperlink>
    </w:p>
    <w:p w:rsidR="00197AA0" w:rsidRPr="00217C55" w:rsidRDefault="00197AA0" w:rsidP="00217C55">
      <w:pPr>
        <w:pStyle w:val="Textonotapie"/>
        <w:jc w:val="both"/>
        <w:rPr>
          <w:rFonts w:ascii="Arial" w:hAnsi="Arial" w:cs="Arial"/>
          <w:sz w:val="18"/>
          <w:szCs w:val="18"/>
          <w:lang w:val="es-MX"/>
        </w:rPr>
      </w:pPr>
    </w:p>
    <w:p w:rsidR="00197AA0" w:rsidRPr="00217C55" w:rsidRDefault="00197AA0" w:rsidP="00217C55">
      <w:pPr>
        <w:pStyle w:val="Textonotapie"/>
        <w:numPr>
          <w:ilvl w:val="0"/>
          <w:numId w:val="31"/>
        </w:numPr>
        <w:suppressAutoHyphens w:val="0"/>
        <w:jc w:val="both"/>
        <w:rPr>
          <w:rFonts w:ascii="Arial" w:hAnsi="Arial" w:cs="Arial"/>
          <w:sz w:val="18"/>
          <w:szCs w:val="18"/>
          <w:lang w:val="es-MX"/>
        </w:rPr>
      </w:pPr>
      <w:r w:rsidRPr="00217C55">
        <w:rPr>
          <w:rFonts w:ascii="Arial" w:hAnsi="Arial" w:cs="Arial"/>
          <w:sz w:val="18"/>
          <w:szCs w:val="18"/>
          <w:lang w:val="es-MX"/>
        </w:rPr>
        <w:t>Los expertos intentan evitar que el buque encallado cause un desastre ecológico en Australia</w:t>
      </w:r>
    </w:p>
    <w:p w:rsidR="00197AA0" w:rsidRPr="00217C55" w:rsidRDefault="00197AA0" w:rsidP="00217C55">
      <w:pPr>
        <w:pStyle w:val="Textonotapie"/>
        <w:ind w:left="644"/>
        <w:jc w:val="both"/>
        <w:rPr>
          <w:rFonts w:ascii="Arial" w:hAnsi="Arial" w:cs="Arial"/>
          <w:sz w:val="18"/>
          <w:szCs w:val="18"/>
          <w:lang w:val="es-MX"/>
        </w:rPr>
      </w:pPr>
    </w:p>
    <w:p w:rsidR="00197AA0" w:rsidRPr="00217C55" w:rsidRDefault="001D7573" w:rsidP="00217C55">
      <w:pPr>
        <w:pStyle w:val="Textonotapie"/>
        <w:jc w:val="both"/>
        <w:rPr>
          <w:rFonts w:ascii="Arial" w:hAnsi="Arial" w:cs="Arial"/>
          <w:sz w:val="18"/>
          <w:szCs w:val="18"/>
        </w:rPr>
      </w:pPr>
      <w:hyperlink r:id="rId109" w:history="1">
        <w:r w:rsidR="00197AA0" w:rsidRPr="00217C55">
          <w:rPr>
            <w:rStyle w:val="Hipervnculo"/>
            <w:rFonts w:ascii="Arial" w:hAnsi="Arial" w:cs="Arial"/>
            <w:color w:val="auto"/>
            <w:sz w:val="18"/>
            <w:szCs w:val="18"/>
            <w:u w:val="none"/>
          </w:rPr>
          <w:t>http://www.merida.gob.mx/observatorio/noticias/abril10/dia05.html</w:t>
        </w:r>
      </w:hyperlink>
    </w:p>
    <w:p w:rsidR="00197AA0" w:rsidRPr="00217C55" w:rsidRDefault="00197AA0" w:rsidP="00217C55">
      <w:pPr>
        <w:pStyle w:val="Textonotapie"/>
        <w:jc w:val="both"/>
        <w:rPr>
          <w:rFonts w:ascii="Arial" w:hAnsi="Arial" w:cs="Arial"/>
          <w:sz w:val="18"/>
          <w:szCs w:val="18"/>
          <w:lang w:val="es-MX"/>
        </w:rPr>
      </w:pPr>
    </w:p>
    <w:p w:rsidR="00197AA0" w:rsidRPr="00217C55" w:rsidRDefault="00197AA0" w:rsidP="00217C55">
      <w:pPr>
        <w:pStyle w:val="Textonotapie"/>
        <w:numPr>
          <w:ilvl w:val="0"/>
          <w:numId w:val="31"/>
        </w:numPr>
        <w:suppressAutoHyphens w:val="0"/>
        <w:jc w:val="both"/>
        <w:rPr>
          <w:rFonts w:ascii="Arial" w:hAnsi="Arial" w:cs="Arial"/>
          <w:sz w:val="18"/>
          <w:szCs w:val="18"/>
        </w:rPr>
      </w:pPr>
      <w:r w:rsidRPr="00217C55">
        <w:rPr>
          <w:rFonts w:ascii="Arial" w:hAnsi="Arial" w:cs="Arial"/>
          <w:sz w:val="18"/>
          <w:szCs w:val="18"/>
        </w:rPr>
        <w:t>“Mi visión es que en 5 años estemos movilizando 1 millón de Contenedores", Ing. Milton Lacayo, Gerente del Nuevo Puerto de La Unión</w:t>
      </w:r>
    </w:p>
    <w:p w:rsidR="00197AA0" w:rsidRPr="00217C55" w:rsidRDefault="001D7573" w:rsidP="00217C55">
      <w:pPr>
        <w:pStyle w:val="Textonotapie"/>
        <w:jc w:val="both"/>
        <w:rPr>
          <w:rFonts w:ascii="Arial" w:hAnsi="Arial" w:cs="Arial"/>
          <w:sz w:val="18"/>
          <w:szCs w:val="18"/>
        </w:rPr>
      </w:pPr>
      <w:hyperlink r:id="rId110" w:history="1">
        <w:r w:rsidR="00197AA0" w:rsidRPr="00217C55">
          <w:rPr>
            <w:rStyle w:val="Hipervnculo"/>
            <w:rFonts w:ascii="Arial" w:hAnsi="Arial" w:cs="Arial"/>
            <w:color w:val="auto"/>
            <w:sz w:val="18"/>
            <w:szCs w:val="18"/>
            <w:u w:val="none"/>
          </w:rPr>
          <w:t>www.</w:t>
        </w:r>
        <w:r w:rsidR="00197AA0" w:rsidRPr="00217C55">
          <w:rPr>
            <w:rStyle w:val="Hipervnculo"/>
            <w:rFonts w:ascii="Arial" w:hAnsi="Arial" w:cs="Arial"/>
            <w:bCs/>
            <w:color w:val="auto"/>
            <w:sz w:val="18"/>
            <w:szCs w:val="18"/>
            <w:u w:val="none"/>
          </w:rPr>
          <w:t>puerto</w:t>
        </w:r>
        <w:r w:rsidR="00197AA0" w:rsidRPr="00217C55">
          <w:rPr>
            <w:rStyle w:val="Hipervnculo"/>
            <w:rFonts w:ascii="Arial" w:hAnsi="Arial" w:cs="Arial"/>
            <w:color w:val="auto"/>
            <w:sz w:val="18"/>
            <w:szCs w:val="18"/>
            <w:u w:val="none"/>
          </w:rPr>
          <w:t>la</w:t>
        </w:r>
        <w:r w:rsidR="00197AA0" w:rsidRPr="00217C55">
          <w:rPr>
            <w:rStyle w:val="Hipervnculo"/>
            <w:rFonts w:ascii="Arial" w:hAnsi="Arial" w:cs="Arial"/>
            <w:bCs/>
            <w:color w:val="auto"/>
            <w:sz w:val="18"/>
            <w:szCs w:val="18"/>
            <w:u w:val="none"/>
          </w:rPr>
          <w:t>union</w:t>
        </w:r>
        <w:r w:rsidR="00197AA0" w:rsidRPr="00217C55">
          <w:rPr>
            <w:rStyle w:val="Hipervnculo"/>
            <w:rFonts w:ascii="Arial" w:hAnsi="Arial" w:cs="Arial"/>
            <w:color w:val="auto"/>
            <w:sz w:val="18"/>
            <w:szCs w:val="18"/>
            <w:u w:val="none"/>
          </w:rPr>
          <w:t>.gob.sv/noticias.php?articulo=1188</w:t>
        </w:r>
      </w:hyperlink>
    </w:p>
    <w:p w:rsidR="00197AA0" w:rsidRPr="00217C55" w:rsidRDefault="00197AA0" w:rsidP="00217C55">
      <w:pPr>
        <w:jc w:val="both"/>
        <w:rPr>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Normativa relacionada con accidentes de petróleos y catástrofes por mareas negras.</w:t>
      </w:r>
    </w:p>
    <w:p w:rsidR="00197AA0" w:rsidRDefault="001D7573" w:rsidP="00217C55">
      <w:pPr>
        <w:jc w:val="both"/>
      </w:pPr>
      <w:hyperlink r:id="rId111" w:anchor="UP" w:history="1">
        <w:r w:rsidR="00197AA0" w:rsidRPr="00217C55">
          <w:rPr>
            <w:rStyle w:val="Hipervnculo"/>
            <w:rFonts w:ascii="Arial" w:hAnsi="Arial" w:cs="Arial"/>
            <w:color w:val="auto"/>
            <w:sz w:val="18"/>
            <w:szCs w:val="18"/>
            <w:u w:val="none"/>
          </w:rPr>
          <w:t>www.miliarium.com/Monografias/MareasNegras/normativa/normativa.asp#UP</w:t>
        </w:r>
      </w:hyperlink>
    </w:p>
    <w:p w:rsidR="00197AA0" w:rsidRPr="00217C55" w:rsidRDefault="00197AA0" w:rsidP="00217C55">
      <w:pPr>
        <w:jc w:val="both"/>
        <w:rPr>
          <w:rFonts w:ascii="Arial" w:hAnsi="Arial" w:cs="Arial"/>
          <w:sz w:val="18"/>
          <w:szCs w:val="18"/>
        </w:rPr>
      </w:pPr>
    </w:p>
    <w:p w:rsidR="00197AA0" w:rsidRPr="00217C55" w:rsidRDefault="00197AA0" w:rsidP="00217C55">
      <w:pPr>
        <w:pStyle w:val="Textonotapie"/>
        <w:numPr>
          <w:ilvl w:val="0"/>
          <w:numId w:val="31"/>
        </w:numPr>
        <w:suppressAutoHyphens w:val="0"/>
        <w:jc w:val="both"/>
        <w:rPr>
          <w:rFonts w:ascii="Arial" w:hAnsi="Arial" w:cs="Arial"/>
          <w:sz w:val="18"/>
          <w:szCs w:val="18"/>
        </w:rPr>
      </w:pPr>
      <w:r w:rsidRPr="00217C55">
        <w:rPr>
          <w:rFonts w:ascii="Arial" w:hAnsi="Arial" w:cs="Arial"/>
          <w:sz w:val="18"/>
          <w:szCs w:val="18"/>
        </w:rPr>
        <w:t>Puerto de La Unión, a la caza de usuarios</w:t>
      </w:r>
    </w:p>
    <w:p w:rsidR="00197AA0" w:rsidRDefault="001D7573" w:rsidP="00217C55">
      <w:pPr>
        <w:pStyle w:val="Textonotapie"/>
        <w:jc w:val="both"/>
      </w:pPr>
      <w:hyperlink r:id="rId112" w:history="1">
        <w:r w:rsidR="00197AA0" w:rsidRPr="00217C55">
          <w:rPr>
            <w:rStyle w:val="Hipervnculo"/>
            <w:rFonts w:ascii="Arial" w:hAnsi="Arial" w:cs="Arial"/>
            <w:color w:val="auto"/>
            <w:sz w:val="18"/>
            <w:szCs w:val="18"/>
            <w:u w:val="none"/>
          </w:rPr>
          <w:t>http://www.laprensagrafica.com/economia/nacional/127012-puerto-de-la-union-a-la-caza-deusuarios.html</w:t>
        </w:r>
      </w:hyperlink>
    </w:p>
    <w:p w:rsidR="00197AA0" w:rsidRPr="00217C55" w:rsidRDefault="00197AA0" w:rsidP="00217C55">
      <w:pPr>
        <w:pStyle w:val="Textonotapie"/>
        <w:jc w:val="both"/>
        <w:rPr>
          <w:rFonts w:ascii="Arial" w:hAnsi="Arial" w:cs="Arial"/>
          <w:sz w:val="18"/>
          <w:szCs w:val="18"/>
        </w:rPr>
      </w:pPr>
    </w:p>
    <w:p w:rsidR="00197AA0" w:rsidRPr="00217C55" w:rsidRDefault="001D7573" w:rsidP="00217C55">
      <w:pPr>
        <w:pStyle w:val="Textonotapie"/>
        <w:jc w:val="both"/>
        <w:rPr>
          <w:rFonts w:ascii="Arial" w:hAnsi="Arial" w:cs="Arial"/>
          <w:sz w:val="18"/>
          <w:szCs w:val="18"/>
        </w:rPr>
      </w:pPr>
      <w:r>
        <w:rPr>
          <w:rFonts w:ascii="Arial" w:hAnsi="Arial" w:cs="Arial"/>
          <w:noProof/>
          <w:sz w:val="18"/>
          <w:szCs w:val="18"/>
        </w:rPr>
        <w:pict>
          <v:shape id="_x0000_s1203" type="#_x0000_t202" style="position:absolute;left:0;text-align:left;margin-left:203.1pt;margin-top:25.9pt;width:45pt;height:21pt;z-index:251833344;mso-height-percent:200;mso-height-percent:200;mso-width-relative:margin;mso-height-relative:margin" fillcolor="white [3212]" stroked="f">
            <v:textbox style="mso-next-textbox:#_x0000_s1203;mso-fit-shape-to-text:t">
              <w:txbxContent>
                <w:p w:rsidR="00AC7D7B" w:rsidRDefault="00AC7D7B" w:rsidP="007467DF">
                  <w:r>
                    <w:t>157</w:t>
                  </w:r>
                </w:p>
              </w:txbxContent>
            </v:textbox>
          </v:shape>
        </w:pict>
      </w:r>
    </w:p>
    <w:p w:rsidR="00197AA0" w:rsidRPr="00217C55" w:rsidRDefault="00197AA0" w:rsidP="00217C55">
      <w:pPr>
        <w:numPr>
          <w:ilvl w:val="0"/>
          <w:numId w:val="31"/>
        </w:numPr>
        <w:spacing w:after="200"/>
        <w:jc w:val="both"/>
        <w:rPr>
          <w:rFonts w:ascii="Arial" w:hAnsi="Arial" w:cs="Arial"/>
          <w:sz w:val="18"/>
          <w:szCs w:val="18"/>
          <w:lang w:val="en-US"/>
        </w:rPr>
      </w:pPr>
      <w:r w:rsidRPr="00217C55">
        <w:rPr>
          <w:rFonts w:ascii="Arial" w:hAnsi="Arial" w:cs="Arial"/>
          <w:sz w:val="18"/>
          <w:szCs w:val="18"/>
          <w:lang w:val="en-US"/>
        </w:rPr>
        <w:t>¿Quienes somos?</w:t>
      </w:r>
    </w:p>
    <w:p w:rsidR="00197AA0" w:rsidRDefault="001D7573" w:rsidP="00217C55">
      <w:pPr>
        <w:jc w:val="both"/>
      </w:pPr>
      <w:hyperlink r:id="rId113" w:history="1">
        <w:r w:rsidR="00197AA0" w:rsidRPr="00217C55">
          <w:rPr>
            <w:rStyle w:val="Hipervnculo"/>
            <w:rFonts w:ascii="Arial" w:hAnsi="Arial" w:cs="Arial"/>
            <w:color w:val="auto"/>
            <w:sz w:val="18"/>
            <w:szCs w:val="18"/>
            <w:u w:val="none"/>
            <w:lang w:val="en-US"/>
          </w:rPr>
          <w:t>http://www.cepa.gob.sv/contenido.php?cont=18&amp;id=17</w:t>
        </w:r>
      </w:hyperlink>
    </w:p>
    <w:p w:rsidR="00197AA0" w:rsidRPr="00217C55" w:rsidRDefault="00197AA0" w:rsidP="00217C55">
      <w:pPr>
        <w:jc w:val="both"/>
        <w:rPr>
          <w:rFonts w:ascii="Arial" w:hAnsi="Arial" w:cs="Arial"/>
          <w:sz w:val="18"/>
          <w:szCs w:val="18"/>
          <w:lang w:val="en-US"/>
        </w:rPr>
      </w:pPr>
    </w:p>
    <w:p w:rsidR="00197AA0" w:rsidRPr="00217C55" w:rsidRDefault="00197AA0" w:rsidP="00217C55">
      <w:pPr>
        <w:numPr>
          <w:ilvl w:val="0"/>
          <w:numId w:val="31"/>
        </w:numPr>
        <w:spacing w:after="200"/>
        <w:jc w:val="both"/>
        <w:rPr>
          <w:rFonts w:ascii="Arial" w:hAnsi="Arial" w:cs="Arial"/>
          <w:sz w:val="18"/>
          <w:szCs w:val="18"/>
          <w:lang w:val="es-SV"/>
        </w:rPr>
      </w:pPr>
      <w:r w:rsidRPr="00217C55">
        <w:rPr>
          <w:rStyle w:val="headline"/>
          <w:rFonts w:ascii="Arial" w:hAnsi="Arial" w:cs="Arial"/>
          <w:sz w:val="18"/>
          <w:szCs w:val="18"/>
        </w:rPr>
        <w:t>Tecnología de los Buques Petroleros</w:t>
      </w:r>
    </w:p>
    <w:p w:rsidR="00197AA0" w:rsidRPr="00217C55" w:rsidRDefault="001D7573" w:rsidP="00217C55">
      <w:pPr>
        <w:jc w:val="both"/>
        <w:rPr>
          <w:rFonts w:ascii="Arial" w:hAnsi="Arial" w:cs="Arial"/>
          <w:sz w:val="18"/>
          <w:szCs w:val="18"/>
        </w:rPr>
      </w:pPr>
      <w:hyperlink r:id="rId114" w:history="1">
        <w:r w:rsidR="00197AA0" w:rsidRPr="00217C55">
          <w:rPr>
            <w:rStyle w:val="Hipervnculo"/>
            <w:rFonts w:ascii="Arial" w:hAnsi="Arial" w:cs="Arial"/>
            <w:color w:val="auto"/>
            <w:sz w:val="18"/>
            <w:szCs w:val="18"/>
            <w:u w:val="none"/>
          </w:rPr>
          <w:t>http://www.pacificenergypier400.com/indexS.php?id=15</w:t>
        </w:r>
      </w:hyperlink>
    </w:p>
    <w:p w:rsidR="00197AA0" w:rsidRPr="00217C55" w:rsidRDefault="00197AA0" w:rsidP="00217C55">
      <w:pPr>
        <w:jc w:val="both"/>
        <w:rPr>
          <w:rFonts w:ascii="Arial" w:hAnsi="Arial" w:cs="Arial"/>
          <w:sz w:val="18"/>
          <w:szCs w:val="18"/>
        </w:rPr>
      </w:pPr>
    </w:p>
    <w:p w:rsidR="00197AA0" w:rsidRPr="00217C55" w:rsidRDefault="00197AA0" w:rsidP="00217C55">
      <w:pPr>
        <w:jc w:val="both"/>
        <w:rPr>
          <w:rFonts w:ascii="Arial" w:hAnsi="Arial" w:cs="Arial"/>
          <w:sz w:val="18"/>
          <w:szCs w:val="18"/>
          <w:lang w:val="es-SV"/>
        </w:rPr>
      </w:pPr>
      <w:r w:rsidRPr="00217C55">
        <w:rPr>
          <w:rFonts w:ascii="Arial" w:hAnsi="Arial" w:cs="Arial"/>
          <w:sz w:val="18"/>
          <w:szCs w:val="18"/>
        </w:rPr>
        <w:t xml:space="preserve">Sitios Webs en ingles: </w:t>
      </w:r>
    </w:p>
    <w:p w:rsidR="00197AA0" w:rsidRPr="00217C55" w:rsidRDefault="00197AA0" w:rsidP="00217C55">
      <w:pPr>
        <w:jc w:val="both"/>
        <w:rPr>
          <w:rFonts w:ascii="Arial" w:hAnsi="Arial" w:cs="Arial"/>
          <w:sz w:val="18"/>
          <w:szCs w:val="18"/>
          <w:lang w:val="es-SV"/>
        </w:rPr>
      </w:pPr>
    </w:p>
    <w:p w:rsidR="00197AA0" w:rsidRPr="00217C55" w:rsidRDefault="00197AA0" w:rsidP="00217C55">
      <w:pPr>
        <w:numPr>
          <w:ilvl w:val="0"/>
          <w:numId w:val="31"/>
        </w:numPr>
        <w:spacing w:after="200"/>
        <w:jc w:val="both"/>
        <w:rPr>
          <w:rFonts w:ascii="Arial" w:hAnsi="Arial" w:cs="Arial"/>
          <w:sz w:val="18"/>
          <w:szCs w:val="18"/>
          <w:lang w:val="en-US"/>
        </w:rPr>
      </w:pPr>
      <w:r w:rsidRPr="00217C55">
        <w:rPr>
          <w:rFonts w:ascii="Arial" w:hAnsi="Arial" w:cs="Arial"/>
          <w:sz w:val="18"/>
          <w:szCs w:val="18"/>
          <w:lang w:val="en-US"/>
        </w:rPr>
        <w:t>Council Of Supply Chain Management Professionals</w:t>
      </w:r>
    </w:p>
    <w:p w:rsidR="00197AA0" w:rsidRPr="00217C55" w:rsidRDefault="001D7573" w:rsidP="00217C55">
      <w:pPr>
        <w:jc w:val="both"/>
        <w:rPr>
          <w:rFonts w:ascii="Arial" w:hAnsi="Arial" w:cs="Arial"/>
          <w:sz w:val="18"/>
          <w:szCs w:val="18"/>
        </w:rPr>
      </w:pPr>
      <w:hyperlink r:id="rId115" w:history="1">
        <w:r w:rsidR="00197AA0" w:rsidRPr="00217C55">
          <w:rPr>
            <w:rStyle w:val="Hipervnculo"/>
            <w:rFonts w:ascii="Arial" w:hAnsi="Arial" w:cs="Arial"/>
            <w:color w:val="auto"/>
            <w:sz w:val="18"/>
            <w:szCs w:val="18"/>
            <w:u w:val="none"/>
          </w:rPr>
          <w:t>http://cscmp.org/</w:t>
        </w:r>
      </w:hyperlink>
      <w:r w:rsidR="00197AA0" w:rsidRPr="00217C55">
        <w:rPr>
          <w:rFonts w:ascii="Arial" w:hAnsi="Arial" w:cs="Arial"/>
          <w:sz w:val="18"/>
          <w:szCs w:val="18"/>
        </w:rPr>
        <w:t>.</w:t>
      </w:r>
    </w:p>
    <w:p w:rsidR="00197AA0" w:rsidRPr="00217C55" w:rsidRDefault="00197AA0" w:rsidP="00217C55">
      <w:pPr>
        <w:pStyle w:val="Textonotapie"/>
        <w:jc w:val="both"/>
        <w:rPr>
          <w:rFonts w:ascii="Arial" w:hAnsi="Arial" w:cs="Arial"/>
          <w:sz w:val="18"/>
          <w:szCs w:val="18"/>
        </w:rPr>
      </w:pPr>
    </w:p>
    <w:p w:rsidR="00197AA0" w:rsidRPr="00217C55" w:rsidRDefault="00197AA0" w:rsidP="00217C55">
      <w:pPr>
        <w:pStyle w:val="Textonotapie"/>
        <w:numPr>
          <w:ilvl w:val="0"/>
          <w:numId w:val="31"/>
        </w:numPr>
        <w:suppressAutoHyphens w:val="0"/>
        <w:jc w:val="both"/>
        <w:rPr>
          <w:rFonts w:ascii="Arial" w:hAnsi="Arial" w:cs="Arial"/>
          <w:sz w:val="18"/>
          <w:szCs w:val="18"/>
        </w:rPr>
      </w:pPr>
      <w:r w:rsidRPr="00217C55">
        <w:rPr>
          <w:rFonts w:ascii="Arial" w:hAnsi="Arial" w:cs="Arial"/>
          <w:sz w:val="18"/>
          <w:szCs w:val="18"/>
        </w:rPr>
        <w:t>Port of Rotterdam</w:t>
      </w:r>
    </w:p>
    <w:p w:rsidR="00197AA0" w:rsidRPr="00217C55" w:rsidRDefault="001D7573" w:rsidP="00217C55">
      <w:pPr>
        <w:pStyle w:val="Textonotapie"/>
        <w:jc w:val="both"/>
        <w:rPr>
          <w:rFonts w:ascii="Arial" w:hAnsi="Arial" w:cs="Arial"/>
          <w:sz w:val="18"/>
          <w:szCs w:val="18"/>
          <w:lang w:val="en-US"/>
        </w:rPr>
      </w:pPr>
      <w:hyperlink r:id="rId116" w:history="1">
        <w:r w:rsidR="00197AA0" w:rsidRPr="00217C55">
          <w:rPr>
            <w:rStyle w:val="Hipervnculo"/>
            <w:rFonts w:ascii="Arial" w:hAnsi="Arial" w:cs="Arial"/>
            <w:color w:val="auto"/>
            <w:sz w:val="18"/>
            <w:szCs w:val="18"/>
            <w:u w:val="none"/>
            <w:lang w:val="en-US"/>
          </w:rPr>
          <w:t>www.portofrotterdam.com</w:t>
        </w:r>
      </w:hyperlink>
    </w:p>
    <w:p w:rsidR="00197AA0" w:rsidRPr="00217C55" w:rsidRDefault="00197AA0" w:rsidP="00217C55">
      <w:pPr>
        <w:pStyle w:val="Textonotapie"/>
        <w:jc w:val="both"/>
        <w:rPr>
          <w:rFonts w:ascii="Arial" w:hAnsi="Arial" w:cs="Arial"/>
          <w:sz w:val="18"/>
          <w:szCs w:val="18"/>
          <w:lang w:val="en-US"/>
        </w:rPr>
      </w:pPr>
    </w:p>
    <w:p w:rsidR="00197AA0" w:rsidRPr="00217C55" w:rsidRDefault="00197AA0" w:rsidP="00217C55">
      <w:pPr>
        <w:numPr>
          <w:ilvl w:val="0"/>
          <w:numId w:val="31"/>
        </w:numPr>
        <w:spacing w:after="200"/>
        <w:jc w:val="both"/>
        <w:rPr>
          <w:rFonts w:ascii="Arial" w:hAnsi="Arial" w:cs="Arial"/>
          <w:sz w:val="18"/>
          <w:szCs w:val="18"/>
        </w:rPr>
      </w:pPr>
      <w:r w:rsidRPr="00217C55">
        <w:rPr>
          <w:rFonts w:ascii="Arial" w:hAnsi="Arial" w:cs="Arial"/>
          <w:sz w:val="18"/>
          <w:szCs w:val="18"/>
        </w:rPr>
        <w:t>Ships index</w:t>
      </w:r>
    </w:p>
    <w:p w:rsidR="00197AA0" w:rsidRPr="00217C55" w:rsidRDefault="001D7573" w:rsidP="00217C55">
      <w:pPr>
        <w:jc w:val="both"/>
        <w:rPr>
          <w:rFonts w:ascii="Arial" w:hAnsi="Arial" w:cs="Arial"/>
          <w:sz w:val="18"/>
          <w:szCs w:val="18"/>
        </w:rPr>
      </w:pPr>
      <w:hyperlink r:id="rId117" w:history="1">
        <w:r w:rsidR="00197AA0" w:rsidRPr="00217C55">
          <w:rPr>
            <w:rStyle w:val="Hipervnculo"/>
            <w:rFonts w:ascii="Arial" w:hAnsi="Arial" w:cs="Arial"/>
            <w:color w:val="auto"/>
            <w:sz w:val="18"/>
            <w:szCs w:val="18"/>
            <w:u w:val="none"/>
          </w:rPr>
          <w:t>http://e-ships.net/index/S14.shtml</w:t>
        </w:r>
      </w:hyperlink>
    </w:p>
    <w:p w:rsidR="00197AA0" w:rsidRPr="00217C55" w:rsidRDefault="00197AA0" w:rsidP="00217C55">
      <w:pPr>
        <w:numPr>
          <w:ilvl w:val="0"/>
          <w:numId w:val="31"/>
        </w:numPr>
        <w:spacing w:after="200"/>
        <w:jc w:val="both"/>
        <w:rPr>
          <w:rStyle w:val="longtext"/>
          <w:rFonts w:ascii="Arial" w:hAnsi="Arial" w:cs="Arial"/>
          <w:sz w:val="18"/>
          <w:szCs w:val="18"/>
        </w:rPr>
      </w:pPr>
      <w:r w:rsidRPr="00217C55">
        <w:rPr>
          <w:rFonts w:ascii="Arial" w:hAnsi="Arial" w:cs="Arial"/>
          <w:sz w:val="18"/>
          <w:szCs w:val="18"/>
        </w:rPr>
        <w:t>The last trip</w:t>
      </w:r>
    </w:p>
    <w:p w:rsidR="00197AA0" w:rsidRDefault="001D7573" w:rsidP="00217C55">
      <w:pPr>
        <w:jc w:val="both"/>
      </w:pPr>
      <w:hyperlink r:id="rId118" w:history="1">
        <w:r w:rsidR="00197AA0" w:rsidRPr="00217C55">
          <w:rPr>
            <w:rStyle w:val="Hipervnculo"/>
            <w:rFonts w:ascii="Arial" w:hAnsi="Arial" w:cs="Arial"/>
            <w:color w:val="auto"/>
            <w:sz w:val="18"/>
            <w:szCs w:val="18"/>
            <w:u w:val="none"/>
          </w:rPr>
          <w:t>www.lboro.ac.uk/departments/hu/ergsinhu/aboutergs/lasttrip.html</w:t>
        </w:r>
      </w:hyperlink>
    </w:p>
    <w:p w:rsidR="00197AA0" w:rsidRPr="00217C55" w:rsidRDefault="00197AA0" w:rsidP="00217C55">
      <w:pPr>
        <w:jc w:val="both"/>
        <w:rPr>
          <w:rStyle w:val="longtext"/>
          <w:rFonts w:ascii="Arial" w:hAnsi="Arial" w:cs="Arial"/>
          <w:sz w:val="18"/>
          <w:szCs w:val="18"/>
        </w:rPr>
      </w:pPr>
    </w:p>
    <w:p w:rsidR="00197AA0" w:rsidRPr="00217C55" w:rsidRDefault="00197AA0" w:rsidP="00217C55">
      <w:pPr>
        <w:numPr>
          <w:ilvl w:val="0"/>
          <w:numId w:val="31"/>
        </w:numPr>
        <w:spacing w:after="200"/>
        <w:jc w:val="both"/>
        <w:rPr>
          <w:rFonts w:ascii="Arial" w:hAnsi="Arial" w:cs="Arial"/>
          <w:sz w:val="18"/>
          <w:szCs w:val="18"/>
          <w:lang w:val="en-US"/>
        </w:rPr>
      </w:pPr>
      <w:r w:rsidRPr="00217C55">
        <w:rPr>
          <w:rFonts w:ascii="Arial" w:hAnsi="Arial" w:cs="Arial"/>
          <w:sz w:val="18"/>
          <w:szCs w:val="18"/>
          <w:lang w:val="en-US"/>
        </w:rPr>
        <w:t>The Regional Marine Pollution Emergency Information and Training Center for the Wider Caribbean</w:t>
      </w:r>
    </w:p>
    <w:p w:rsidR="00197AA0" w:rsidRDefault="001D7573" w:rsidP="00217C55">
      <w:pPr>
        <w:jc w:val="both"/>
      </w:pPr>
      <w:hyperlink r:id="rId119" w:history="1">
        <w:r w:rsidR="00197AA0" w:rsidRPr="00217C55">
          <w:rPr>
            <w:rStyle w:val="Hipervnculo"/>
            <w:rFonts w:ascii="Arial" w:hAnsi="Arial" w:cs="Arial"/>
            <w:color w:val="auto"/>
            <w:sz w:val="18"/>
            <w:szCs w:val="18"/>
            <w:u w:val="none"/>
            <w:lang w:val="en-US"/>
          </w:rPr>
          <w:t>http://www.cep.unep.org/racrempeitc</w:t>
        </w:r>
      </w:hyperlink>
    </w:p>
    <w:p w:rsidR="00197AA0" w:rsidRPr="00217C55" w:rsidRDefault="00197AA0" w:rsidP="00217C55">
      <w:pPr>
        <w:jc w:val="both"/>
        <w:rPr>
          <w:rFonts w:ascii="Arial" w:hAnsi="Arial" w:cs="Arial"/>
          <w:sz w:val="18"/>
          <w:szCs w:val="18"/>
          <w:lang w:val="en-US"/>
        </w:rPr>
      </w:pPr>
    </w:p>
    <w:p w:rsidR="00197AA0" w:rsidRPr="00217C55" w:rsidRDefault="00197AA0" w:rsidP="00217C55">
      <w:pPr>
        <w:pStyle w:val="Textonotapie"/>
        <w:numPr>
          <w:ilvl w:val="0"/>
          <w:numId w:val="31"/>
        </w:numPr>
        <w:suppressAutoHyphens w:val="0"/>
        <w:jc w:val="both"/>
        <w:rPr>
          <w:rFonts w:ascii="Arial" w:hAnsi="Arial" w:cs="Arial"/>
          <w:sz w:val="18"/>
          <w:szCs w:val="18"/>
          <w:lang w:val="en-US"/>
        </w:rPr>
      </w:pPr>
      <w:r w:rsidRPr="00217C55">
        <w:rPr>
          <w:rFonts w:ascii="Arial" w:hAnsi="Arial" w:cs="Arial"/>
          <w:sz w:val="18"/>
          <w:szCs w:val="18"/>
          <w:lang w:val="en-US"/>
        </w:rPr>
        <w:t>United Nations Conference on Trade and Development</w:t>
      </w:r>
    </w:p>
    <w:p w:rsidR="00197AA0" w:rsidRPr="00217C55" w:rsidRDefault="001D7573" w:rsidP="00217C55">
      <w:pPr>
        <w:pStyle w:val="Textonotapie"/>
        <w:jc w:val="both"/>
        <w:rPr>
          <w:rFonts w:ascii="Arial" w:hAnsi="Arial" w:cs="Arial"/>
          <w:sz w:val="18"/>
          <w:szCs w:val="18"/>
          <w:lang w:val="en-US"/>
        </w:rPr>
      </w:pPr>
      <w:r w:rsidRPr="001D7573">
        <w:rPr>
          <w:noProof/>
          <w:lang w:eastAsia="es-ES"/>
        </w:rPr>
        <w:pict>
          <v:shape id="_x0000_s1210" type="#_x0000_t202" style="position:absolute;left:0;text-align:left;margin-left:215.2pt;margin-top:378.75pt;width:45pt;height:21pt;z-index:251839488;mso-height-percent:200;mso-height-percent:200;mso-width-relative:margin;mso-height-relative:margin" fillcolor="white [3212]" stroked="f">
            <v:textbox style="mso-next-textbox:#_x0000_s1210;mso-fit-shape-to-text:t">
              <w:txbxContent>
                <w:p w:rsidR="00FF769A" w:rsidRDefault="00FF769A" w:rsidP="00FF769A">
                  <w:r>
                    <w:t>158</w:t>
                  </w:r>
                </w:p>
              </w:txbxContent>
            </v:textbox>
          </v:shape>
        </w:pict>
      </w:r>
      <w:hyperlink r:id="rId120" w:history="1">
        <w:r w:rsidR="00197AA0" w:rsidRPr="00217C55">
          <w:rPr>
            <w:rStyle w:val="Hipervnculo"/>
            <w:rFonts w:ascii="Arial" w:hAnsi="Arial" w:cs="Arial"/>
            <w:color w:val="auto"/>
            <w:sz w:val="18"/>
            <w:szCs w:val="18"/>
            <w:u w:val="none"/>
            <w:lang w:val="en-US"/>
          </w:rPr>
          <w:t>www.unctad.org</w:t>
        </w:r>
      </w:hyperlink>
    </w:p>
    <w:sectPr w:rsidR="00197AA0" w:rsidRPr="00217C55" w:rsidSect="00841A51">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230C" w:rsidRDefault="0074230C">
      <w:r>
        <w:separator/>
      </w:r>
    </w:p>
  </w:endnote>
  <w:endnote w:type="continuationSeparator" w:id="0">
    <w:p w:rsidR="0074230C" w:rsidRDefault="0074230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Liberation Serif">
    <w:altName w:val="Arial Unicode MS"/>
    <w:panose1 w:val="00000000000000000000"/>
    <w:charset w:val="80"/>
    <w:family w:val="roman"/>
    <w:notTrueType/>
    <w:pitch w:val="variable"/>
    <w:sig w:usb0="00000001" w:usb1="08070000" w:usb2="00000010" w:usb3="00000000" w:csb0="00020000" w:csb1="00000000"/>
  </w:font>
  <w:font w:name="DejaVu Sans">
    <w:panose1 w:val="00000000000000000000"/>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230C" w:rsidRDefault="0074230C">
      <w:r>
        <w:separator/>
      </w:r>
    </w:p>
  </w:footnote>
  <w:footnote w:type="continuationSeparator" w:id="0">
    <w:p w:rsidR="0074230C" w:rsidRDefault="0074230C">
      <w:r>
        <w:continuationSeparator/>
      </w:r>
    </w:p>
  </w:footnote>
  <w:footnote w:id="1">
    <w:p w:rsidR="00AC7D7B" w:rsidRDefault="00AC7D7B" w:rsidP="005E1D74">
      <w:pPr>
        <w:pStyle w:val="Textonotapie"/>
        <w:jc w:val="both"/>
      </w:pPr>
      <w:r w:rsidRPr="00DC7F14">
        <w:rPr>
          <w:rStyle w:val="Refdenotaalpie"/>
          <w:rFonts w:ascii="Arial" w:hAnsi="Arial" w:cs="Arial"/>
          <w:sz w:val="18"/>
          <w:szCs w:val="18"/>
        </w:rPr>
        <w:sym w:font="Symbol" w:char="F02A"/>
      </w:r>
      <w:r w:rsidRPr="00DC7F14">
        <w:rPr>
          <w:rStyle w:val="Refdenotaalpie"/>
          <w:rFonts w:ascii="Arial" w:hAnsi="Arial" w:cs="Arial"/>
          <w:sz w:val="18"/>
          <w:szCs w:val="18"/>
        </w:rPr>
        <w:t xml:space="preserve"> </w:t>
      </w:r>
      <w:r w:rsidRPr="00DC7F14">
        <w:rPr>
          <w:rFonts w:ascii="Arial" w:hAnsi="Arial" w:cs="Arial"/>
          <w:sz w:val="18"/>
          <w:szCs w:val="18"/>
        </w:rPr>
        <w:t xml:space="preserve">Considerable extensión geográfica, con profundidades del lecho marino accesibles para actividades de exploración petrolera y con una infraestructura de servicios de apoyo básicamente utilizable para estas actividades sin mayores necesidades de acondicionamiento. </w:t>
      </w:r>
    </w:p>
  </w:footnote>
  <w:footnote w:id="2">
    <w:p w:rsidR="00AC7D7B" w:rsidRDefault="00AC7D7B" w:rsidP="005E1D74">
      <w:pPr>
        <w:pStyle w:val="Textonotapie"/>
        <w:jc w:val="both"/>
      </w:pPr>
      <w:r w:rsidRPr="00DC7F14">
        <w:rPr>
          <w:rStyle w:val="Refdenotaalpie"/>
          <w:rFonts w:ascii="Arial" w:hAnsi="Arial" w:cs="Arial"/>
          <w:sz w:val="18"/>
          <w:szCs w:val="18"/>
        </w:rPr>
        <w:sym w:font="Symbol" w:char="F02A"/>
      </w:r>
      <w:r w:rsidRPr="00DC7F14">
        <w:rPr>
          <w:rStyle w:val="Refdenotaalpie"/>
          <w:rFonts w:ascii="Arial" w:hAnsi="Arial" w:cs="Arial"/>
          <w:sz w:val="18"/>
          <w:szCs w:val="18"/>
        </w:rPr>
        <w:sym w:font="Symbol" w:char="F02A"/>
      </w:r>
      <w:r w:rsidRPr="00DC7F14">
        <w:rPr>
          <w:rFonts w:ascii="Arial" w:hAnsi="Arial" w:cs="Arial"/>
          <w:sz w:val="18"/>
          <w:szCs w:val="18"/>
        </w:rPr>
        <w:t xml:space="preserve"> Organismo especializado de las Naciones Unidas que promueve la cooperación entre Estados y la industria de transporte para mejorar la seguridad marítima y para prevenir la contaminación marina.</w:t>
      </w:r>
    </w:p>
  </w:footnote>
  <w:footnote w:id="3">
    <w:p w:rsidR="00AC7D7B" w:rsidRDefault="00AC7D7B" w:rsidP="005E1D74">
      <w:pPr>
        <w:pStyle w:val="Textonotapie"/>
        <w:jc w:val="both"/>
      </w:pPr>
      <w:r w:rsidRPr="002C688C">
        <w:rPr>
          <w:rStyle w:val="Refdenotaalpie"/>
          <w:rFonts w:ascii="Arial" w:hAnsi="Arial" w:cs="Arial"/>
          <w:sz w:val="18"/>
          <w:szCs w:val="18"/>
        </w:rPr>
        <w:sym w:font="Symbol" w:char="F02A"/>
      </w:r>
      <w:r>
        <w:rPr>
          <w:rFonts w:ascii="Arial" w:hAnsi="Arial" w:cs="Arial"/>
          <w:sz w:val="18"/>
          <w:szCs w:val="18"/>
        </w:rPr>
        <w:t xml:space="preserve"> </w:t>
      </w:r>
      <w:r w:rsidRPr="002C688C">
        <w:rPr>
          <w:rFonts w:ascii="Arial" w:hAnsi="Arial" w:cs="Arial"/>
          <w:sz w:val="18"/>
          <w:szCs w:val="18"/>
        </w:rPr>
        <w:t>NASA son las siglas</w:t>
      </w:r>
      <w:r w:rsidRPr="00A04021">
        <w:rPr>
          <w:rFonts w:ascii="Arial" w:hAnsi="Arial" w:cs="Arial"/>
          <w:sz w:val="18"/>
          <w:szCs w:val="18"/>
        </w:rPr>
        <w:t xml:space="preserve">, en </w:t>
      </w:r>
      <w:hyperlink r:id="rId1" w:tooltip="Idioma inglés" w:history="1">
        <w:r w:rsidRPr="00A04021">
          <w:rPr>
            <w:rStyle w:val="Hipervnculo"/>
            <w:rFonts w:ascii="Arial" w:hAnsi="Arial" w:cs="Arial"/>
            <w:color w:val="auto"/>
            <w:sz w:val="18"/>
            <w:szCs w:val="18"/>
            <w:u w:val="none"/>
          </w:rPr>
          <w:t>inglés</w:t>
        </w:r>
      </w:hyperlink>
      <w:r w:rsidRPr="00A04021">
        <w:rPr>
          <w:rFonts w:ascii="Arial" w:hAnsi="Arial" w:cs="Arial"/>
          <w:sz w:val="18"/>
          <w:szCs w:val="18"/>
        </w:rPr>
        <w:t xml:space="preserve">, para la Administración Nacional de Aeronáutica y del Espacio (National Aeronautics and Space Administration) de los </w:t>
      </w:r>
      <w:hyperlink r:id="rId2" w:tooltip="Estados Unidos" w:history="1">
        <w:r w:rsidRPr="00A04021">
          <w:rPr>
            <w:rStyle w:val="Hipervnculo"/>
            <w:rFonts w:ascii="Arial" w:hAnsi="Arial" w:cs="Arial"/>
            <w:color w:val="auto"/>
            <w:sz w:val="18"/>
            <w:szCs w:val="18"/>
            <w:u w:val="none"/>
          </w:rPr>
          <w:t>Estados Unidos</w:t>
        </w:r>
      </w:hyperlink>
      <w:r w:rsidRPr="00A04021">
        <w:rPr>
          <w:rFonts w:ascii="Arial" w:hAnsi="Arial" w:cs="Arial"/>
          <w:sz w:val="18"/>
          <w:szCs w:val="18"/>
        </w:rPr>
        <w:t>, que es la agencia gubernamental responsable de los programas espaciales.</w:t>
      </w:r>
    </w:p>
  </w:footnote>
  <w:footnote w:id="4">
    <w:p w:rsidR="00AC7D7B" w:rsidRDefault="00AC7D7B" w:rsidP="005E1D74">
      <w:pPr>
        <w:pStyle w:val="Textonotapie"/>
        <w:jc w:val="both"/>
      </w:pPr>
      <w:r>
        <w:rPr>
          <w:rStyle w:val="Refdenotaalpie"/>
        </w:rPr>
        <w:footnoteRef/>
      </w:r>
      <w:r>
        <w:t xml:space="preserve"> </w:t>
      </w:r>
      <w:r w:rsidRPr="001235DD">
        <w:rPr>
          <w:rFonts w:ascii="Arial" w:hAnsi="Arial" w:cs="Arial"/>
          <w:sz w:val="18"/>
          <w:szCs w:val="18"/>
        </w:rPr>
        <w:t xml:space="preserve">Información tomada del sitio web: </w:t>
      </w:r>
      <w:r w:rsidRPr="001235DD">
        <w:rPr>
          <w:rFonts w:ascii="Arial" w:hAnsi="Arial" w:cs="Arial"/>
          <w:color w:val="000000"/>
          <w:sz w:val="18"/>
          <w:szCs w:val="18"/>
        </w:rPr>
        <w:t>http://www.xs4all.nl/~oro/ultramarine/fidalmar2001/08-prevencion.html</w:t>
      </w:r>
    </w:p>
  </w:footnote>
  <w:footnote w:id="5">
    <w:p w:rsidR="00AC7D7B" w:rsidRDefault="00AC7D7B" w:rsidP="005E1D74">
      <w:pPr>
        <w:pStyle w:val="Textonotapie"/>
        <w:jc w:val="both"/>
      </w:pPr>
      <w:r>
        <w:rPr>
          <w:rStyle w:val="Refdenotaalpie"/>
        </w:rPr>
        <w:footnoteRef/>
      </w:r>
      <w:r>
        <w:t xml:space="preserve"> </w:t>
      </w:r>
      <w:r w:rsidRPr="002C688C">
        <w:rPr>
          <w:rFonts w:ascii="Arial" w:hAnsi="Arial" w:cs="Arial"/>
          <w:sz w:val="18"/>
          <w:szCs w:val="18"/>
        </w:rPr>
        <w:t>Información  Tomada del sitio web: http://assets.wwf.es/downloads/ergos.pdf</w:t>
      </w:r>
    </w:p>
  </w:footnote>
  <w:footnote w:id="6">
    <w:p w:rsidR="00AC7D7B" w:rsidRDefault="00AC7D7B" w:rsidP="005E1D74">
      <w:pPr>
        <w:pStyle w:val="Textonotapie"/>
        <w:jc w:val="both"/>
      </w:pPr>
      <w:r>
        <w:rPr>
          <w:rStyle w:val="Refdenotaalpie"/>
          <w:rFonts w:ascii="Arial" w:hAnsi="Arial" w:cs="Arial"/>
          <w:sz w:val="18"/>
          <w:szCs w:val="18"/>
        </w:rPr>
        <w:t xml:space="preserve"> </w:t>
      </w:r>
      <w:r w:rsidRPr="002C688C">
        <w:rPr>
          <w:rStyle w:val="Refdenotaalpie"/>
          <w:rFonts w:ascii="Arial" w:hAnsi="Arial" w:cs="Arial"/>
          <w:sz w:val="18"/>
          <w:szCs w:val="18"/>
        </w:rPr>
        <w:sym w:font="Symbol" w:char="F02A"/>
      </w:r>
      <w:r>
        <w:rPr>
          <w:rStyle w:val="Refdenotaalpie"/>
          <w:rFonts w:ascii="Arial" w:hAnsi="Arial" w:cs="Arial"/>
          <w:sz w:val="18"/>
          <w:szCs w:val="18"/>
        </w:rPr>
        <w:t xml:space="preserve"> </w:t>
      </w:r>
      <w:r w:rsidRPr="002C688C">
        <w:rPr>
          <w:rFonts w:ascii="Arial" w:hAnsi="Arial" w:cs="Arial"/>
          <w:sz w:val="18"/>
          <w:szCs w:val="18"/>
        </w:rPr>
        <w:t>Institución dirigida a la restauración del ordenamiento internacional o de la mera normalidad de la vida internacional ante aquellas conductas lesivas para los diferentes miembros de la sociedad internacional atribuibles a determinados sujetos internacionales bien Estados u organizaciones internacionales, que conllevan  la obligación de reparación. En tal sentido Manuel Becerra Ramírez, define como “la institución de derecho internacional por medio de la cual se establece que cualquier violación de un compromiso contenido en una norma internacional trae por consecuencia una obligación de efectuar una r</w:t>
      </w:r>
      <w:r>
        <w:rPr>
          <w:rFonts w:ascii="Arial" w:hAnsi="Arial" w:cs="Arial"/>
          <w:sz w:val="18"/>
          <w:szCs w:val="18"/>
        </w:rPr>
        <w:t xml:space="preserve">eparación moral o material”.   </w:t>
      </w:r>
    </w:p>
  </w:footnote>
  <w:footnote w:id="7">
    <w:p w:rsidR="00AC7D7B" w:rsidRDefault="00AC7D7B" w:rsidP="005E1D74">
      <w:pPr>
        <w:pStyle w:val="Textonotapie"/>
        <w:jc w:val="both"/>
      </w:pPr>
      <w:r w:rsidRPr="00AE3BF5">
        <w:rPr>
          <w:rStyle w:val="Refdenotaalpie"/>
        </w:rPr>
        <w:sym w:font="Symbol" w:char="F02A"/>
      </w:r>
      <w:r>
        <w:rPr>
          <w:rFonts w:ascii="Arial" w:hAnsi="Arial" w:cs="Arial"/>
          <w:sz w:val="18"/>
          <w:szCs w:val="18"/>
          <w:lang w:val="es-SV"/>
        </w:rPr>
        <w:t xml:space="preserve"> </w:t>
      </w:r>
      <w:r w:rsidRPr="002C688C">
        <w:rPr>
          <w:rFonts w:ascii="Arial" w:hAnsi="Arial" w:cs="Arial"/>
          <w:sz w:val="18"/>
          <w:szCs w:val="18"/>
          <w:lang w:val="es-SV"/>
        </w:rPr>
        <w:t>Convención internacional para la prevención de la contaminación de las aguas del mar por petróleo de 1954 (OILPOL) Convenio Internacional sobre Cooperación, Preparación y lucha contra la Contaminación por hidrocarburos de 1990 (OPRC) Convenio Internacional  para la seguridad de la vida humana en el mar (SOLAS) de 1974, Convenio Internacional sobre Responsabilidad Civil nacida de da</w:t>
      </w:r>
      <w:r w:rsidRPr="002C688C">
        <w:rPr>
          <w:rFonts w:ascii="Arial" w:hAnsi="Arial" w:cs="Arial"/>
          <w:sz w:val="18"/>
          <w:szCs w:val="18"/>
        </w:rPr>
        <w:t>ñ</w:t>
      </w:r>
      <w:r w:rsidRPr="002C688C">
        <w:rPr>
          <w:rFonts w:ascii="Arial" w:hAnsi="Arial" w:cs="Arial"/>
          <w:sz w:val="18"/>
          <w:szCs w:val="18"/>
          <w:lang w:val="es-SV"/>
        </w:rPr>
        <w:t>os debidos a contaminación por los hidrocarburos para combustibles de los buques (1969).</w:t>
      </w:r>
    </w:p>
  </w:footnote>
  <w:footnote w:id="8">
    <w:p w:rsidR="00AC7D7B" w:rsidRDefault="00AC7D7B" w:rsidP="005E1D74">
      <w:pPr>
        <w:pStyle w:val="Textonotapie"/>
        <w:jc w:val="both"/>
      </w:pPr>
      <w:r w:rsidRPr="009021FE">
        <w:rPr>
          <w:rStyle w:val="Refdenotaalpie"/>
        </w:rPr>
        <w:sym w:font="Symbol" w:char="F02A"/>
      </w:r>
      <w:r>
        <w:rPr>
          <w:rFonts w:ascii="Arial" w:hAnsi="Arial" w:cs="Arial"/>
          <w:sz w:val="18"/>
          <w:szCs w:val="18"/>
        </w:rPr>
        <w:t xml:space="preserve"> </w:t>
      </w:r>
      <w:r w:rsidRPr="002C688C">
        <w:rPr>
          <w:rFonts w:ascii="Arial" w:hAnsi="Arial" w:cs="Arial"/>
          <w:sz w:val="18"/>
          <w:szCs w:val="18"/>
        </w:rPr>
        <w:t>Bandera de conveniencia: aquella que implica la matriculación de buques mercantes, generalmente graneleros o supertanques, en países cuya legislación resulta conveniente para el propietario o armador, desde el punto de vista económico. Esta figura se ha constituido como objeto de es</w:t>
      </w:r>
      <w:r>
        <w:rPr>
          <w:rFonts w:ascii="Arial" w:hAnsi="Arial" w:cs="Arial"/>
          <w:sz w:val="18"/>
          <w:szCs w:val="18"/>
        </w:rPr>
        <w:t>tudio, no só</w:t>
      </w:r>
      <w:r w:rsidRPr="002C688C">
        <w:rPr>
          <w:rFonts w:ascii="Arial" w:hAnsi="Arial" w:cs="Arial"/>
          <w:sz w:val="18"/>
          <w:szCs w:val="18"/>
        </w:rPr>
        <w:t xml:space="preserve">lo de la ciencia jurídica sino </w:t>
      </w:r>
      <w:r>
        <w:rPr>
          <w:rFonts w:ascii="Arial" w:hAnsi="Arial" w:cs="Arial"/>
          <w:sz w:val="18"/>
          <w:szCs w:val="18"/>
        </w:rPr>
        <w:t>también de la economía naviera.</w:t>
      </w:r>
    </w:p>
  </w:footnote>
  <w:footnote w:id="9">
    <w:p w:rsidR="00AC7D7B" w:rsidRDefault="00AC7D7B" w:rsidP="005E1D74">
      <w:pPr>
        <w:pStyle w:val="Textonotapie"/>
      </w:pPr>
      <w:r>
        <w:rPr>
          <w:rStyle w:val="Refdenotaalpie"/>
        </w:rPr>
        <w:footnoteRef/>
      </w:r>
      <w:r>
        <w:t xml:space="preserve"> </w:t>
      </w:r>
      <w:r w:rsidRPr="002C688C">
        <w:rPr>
          <w:rFonts w:ascii="Arial" w:hAnsi="Arial" w:cs="Arial"/>
          <w:i/>
          <w:iCs/>
          <w:sz w:val="18"/>
          <w:szCs w:val="18"/>
        </w:rPr>
        <w:t>Ibídem</w:t>
      </w:r>
      <w:r w:rsidRPr="002C688C">
        <w:rPr>
          <w:rFonts w:ascii="Arial" w:hAnsi="Arial" w:cs="Arial"/>
          <w:sz w:val="18"/>
          <w:szCs w:val="18"/>
        </w:rPr>
        <w:t>., p.4.</w:t>
      </w:r>
    </w:p>
  </w:footnote>
  <w:footnote w:id="10">
    <w:p w:rsidR="00AC7D7B" w:rsidRDefault="00AC7D7B" w:rsidP="005E1D74">
      <w:pPr>
        <w:pStyle w:val="Textonotapie"/>
        <w:jc w:val="both"/>
      </w:pPr>
      <w:r w:rsidRPr="00AD7297">
        <w:rPr>
          <w:rStyle w:val="Refdenotaalpie"/>
        </w:rPr>
        <w:sym w:font="Symbol" w:char="F02A"/>
      </w:r>
      <w:r>
        <w:rPr>
          <w:rFonts w:ascii="Arial" w:hAnsi="Arial" w:cs="Arial"/>
          <w:sz w:val="18"/>
          <w:szCs w:val="18"/>
          <w:lang w:val="es-SV"/>
        </w:rPr>
        <w:t xml:space="preserve"> </w:t>
      </w:r>
      <w:r w:rsidRPr="002C688C">
        <w:rPr>
          <w:rFonts w:ascii="Arial" w:hAnsi="Arial" w:cs="Arial"/>
          <w:sz w:val="18"/>
          <w:szCs w:val="18"/>
          <w:lang w:val="es-SV"/>
        </w:rPr>
        <w:t>Vertido: fruto de una acción deliberada e intencional, aunque pueda estar justificada por causas de fuerza mayor o estado de necesidad. Derrame:</w:t>
      </w:r>
      <w:r w:rsidRPr="002C688C">
        <w:rPr>
          <w:rFonts w:ascii="Arial" w:hAnsi="Arial" w:cs="Arial"/>
          <w:sz w:val="18"/>
          <w:szCs w:val="18"/>
        </w:rPr>
        <w:t xml:space="preserve"> </w:t>
      </w:r>
      <w:r w:rsidRPr="002C688C">
        <w:rPr>
          <w:rFonts w:ascii="Arial" w:hAnsi="Arial" w:cs="Arial"/>
          <w:sz w:val="18"/>
          <w:szCs w:val="18"/>
          <w:lang w:val="es-SV"/>
        </w:rPr>
        <w:t>derivado de un accidente o de las operaciones habituales en la explotación de un buque.</w:t>
      </w:r>
    </w:p>
  </w:footnote>
  <w:footnote w:id="11">
    <w:p w:rsidR="00AC7D7B" w:rsidRDefault="00AC7D7B" w:rsidP="005E1D74">
      <w:pPr>
        <w:pStyle w:val="Textonotapie"/>
      </w:pPr>
      <w:r>
        <w:rPr>
          <w:rStyle w:val="Refdenotaalpie"/>
        </w:rPr>
        <w:footnoteRef/>
      </w:r>
      <w:r>
        <w:t xml:space="preserve"> </w:t>
      </w:r>
      <w:r w:rsidRPr="002C688C">
        <w:rPr>
          <w:rFonts w:ascii="Arial" w:hAnsi="Arial" w:cs="Arial"/>
          <w:sz w:val="18"/>
          <w:szCs w:val="18"/>
          <w:lang w:val="es-SV"/>
        </w:rPr>
        <w:t>Información Tomada del sitio web: http://www.marenostrum.org/ecologia/medio_ambiente/prestige/desgracia3.htm</w:t>
      </w:r>
    </w:p>
    <w:p w:rsidR="00AC7D7B" w:rsidRDefault="00AC7D7B" w:rsidP="005E1D74">
      <w:pPr>
        <w:pStyle w:val="Textonotapie"/>
      </w:pPr>
    </w:p>
  </w:footnote>
  <w:footnote w:id="12">
    <w:p w:rsidR="00AC7D7B" w:rsidRDefault="00AC7D7B" w:rsidP="005E1D74">
      <w:pPr>
        <w:pStyle w:val="Textonotapie"/>
      </w:pPr>
      <w:r>
        <w:rPr>
          <w:rStyle w:val="Refdenotaalpie"/>
        </w:rPr>
        <w:footnoteRef/>
      </w:r>
      <w:r>
        <w:t xml:space="preserve"> </w:t>
      </w:r>
      <w:r w:rsidRPr="002C688C">
        <w:rPr>
          <w:rFonts w:ascii="Arial" w:hAnsi="Arial" w:cs="Arial"/>
          <w:sz w:val="18"/>
          <w:szCs w:val="18"/>
        </w:rPr>
        <w:t>Revista de transporte marítimo, UNCTAD (Conferencia de Naciones Unidas para el Comercio y el Desarrollo). Edición 2009.</w:t>
      </w:r>
    </w:p>
  </w:footnote>
  <w:footnote w:id="13">
    <w:p w:rsidR="00AC7D7B" w:rsidRDefault="00AC7D7B" w:rsidP="005E1D74">
      <w:pPr>
        <w:pStyle w:val="Textonotapie"/>
        <w:jc w:val="both"/>
      </w:pPr>
      <w:r w:rsidRPr="002C688C">
        <w:rPr>
          <w:rStyle w:val="Refdenotaalpie"/>
          <w:rFonts w:ascii="Arial" w:hAnsi="Arial" w:cs="Arial"/>
          <w:sz w:val="18"/>
          <w:szCs w:val="18"/>
        </w:rPr>
        <w:sym w:font="Symbol" w:char="F02A"/>
      </w:r>
      <w:r>
        <w:rPr>
          <w:rStyle w:val="Refdenotaalpie"/>
          <w:rFonts w:ascii="Arial" w:hAnsi="Arial" w:cs="Arial"/>
          <w:sz w:val="18"/>
          <w:szCs w:val="18"/>
        </w:rPr>
        <w:t xml:space="preserve"> </w:t>
      </w:r>
      <w:r w:rsidRPr="002C688C">
        <w:rPr>
          <w:rFonts w:ascii="Arial" w:hAnsi="Arial" w:cs="Arial"/>
          <w:sz w:val="18"/>
          <w:szCs w:val="18"/>
          <w:lang w:val="es-MX"/>
        </w:rPr>
        <w:t>Robert Keohane y Josehp Nye, principales representantes de la doctrina neoliberal.</w:t>
      </w:r>
    </w:p>
  </w:footnote>
  <w:footnote w:id="14">
    <w:p w:rsidR="00AC7D7B" w:rsidRDefault="00AC7D7B" w:rsidP="005E1D74">
      <w:pPr>
        <w:pStyle w:val="Textonotapie"/>
        <w:jc w:val="both"/>
      </w:pPr>
      <w:r>
        <w:rPr>
          <w:rStyle w:val="Refdenotaalpie"/>
        </w:rPr>
        <w:footnoteRef/>
      </w:r>
      <w:r w:rsidRPr="00A77B72">
        <w:rPr>
          <w:lang w:val="en-US"/>
        </w:rPr>
        <w:t xml:space="preserve"> </w:t>
      </w:r>
      <w:r>
        <w:rPr>
          <w:rFonts w:ascii="Arial" w:hAnsi="Arial" w:cs="Arial"/>
          <w:sz w:val="18"/>
          <w:szCs w:val="18"/>
          <w:lang w:val="en-US" w:eastAsia="es-MX"/>
        </w:rPr>
        <w:t xml:space="preserve">KEOHANE, Robert. </w:t>
      </w:r>
      <w:r w:rsidRPr="00802C6B">
        <w:rPr>
          <w:rFonts w:ascii="Arial" w:hAnsi="Arial" w:cs="Arial"/>
          <w:i/>
          <w:sz w:val="18"/>
          <w:szCs w:val="18"/>
          <w:lang w:val="en-US" w:eastAsia="es-MX"/>
        </w:rPr>
        <w:t>After Hegemony. Cooperation and Discord in the World Political Economy</w:t>
      </w:r>
      <w:r w:rsidRPr="002C688C">
        <w:rPr>
          <w:rFonts w:ascii="Arial" w:hAnsi="Arial" w:cs="Arial"/>
          <w:sz w:val="18"/>
          <w:szCs w:val="18"/>
          <w:lang w:val="en-US" w:eastAsia="es-MX"/>
        </w:rPr>
        <w:t xml:space="preserve">. </w:t>
      </w:r>
      <w:r w:rsidRPr="005E1D74">
        <w:rPr>
          <w:rFonts w:ascii="Arial" w:hAnsi="Arial" w:cs="Arial"/>
          <w:sz w:val="18"/>
          <w:szCs w:val="18"/>
          <w:lang w:val="es-ES_tradnl" w:eastAsia="es-MX"/>
        </w:rPr>
        <w:t>Princeton: Princeton University Press, 1984.</w:t>
      </w:r>
    </w:p>
  </w:footnote>
  <w:footnote w:id="15">
    <w:p w:rsidR="00AC7D7B" w:rsidRDefault="00AC7D7B" w:rsidP="005E1D74">
      <w:pPr>
        <w:pStyle w:val="Textonotapie"/>
        <w:jc w:val="both"/>
      </w:pPr>
      <w:r w:rsidRPr="00A77B72">
        <w:rPr>
          <w:rStyle w:val="Refdenotaalpie"/>
        </w:rPr>
        <w:sym w:font="Symbol" w:char="F02A"/>
      </w:r>
      <w:r w:rsidRPr="00A77B72">
        <w:rPr>
          <w:rStyle w:val="Refdenotaalpie"/>
        </w:rPr>
        <w:sym w:font="Symbol" w:char="F02A"/>
      </w:r>
      <w:r>
        <w:t xml:space="preserve"> </w:t>
      </w:r>
      <w:r w:rsidRPr="002C688C">
        <w:rPr>
          <w:rFonts w:ascii="Arial" w:hAnsi="Arial" w:cs="Arial"/>
          <w:sz w:val="18"/>
          <w:szCs w:val="18"/>
          <w:lang w:val="es-MX"/>
        </w:rPr>
        <w:t>Robert Keohane definió las instituciones como “conjuntos de reglas (formales e informales) estables e interconectadas que prescriben comportamientos, constriñen actividades y configuran expectativas”. A su vez, las instituciones pueden ser de tres clases: a) organizaciones gubernamentales y no gubernamentales (deliberadamente establecidas y diseñadas por los Estados, con carácter burocrático y reglas explícitas), b) regímenes internacionales (instituciones con reglas explícitas acordadas por los gobiernos pero con nivel de institucionalización menor que las instituciones) y convenciones (situaciones contractuales que comportan reglas implícitas que configuran las expectativas de los actores.</w:t>
      </w:r>
    </w:p>
  </w:footnote>
  <w:footnote w:id="16">
    <w:p w:rsidR="00AC7D7B" w:rsidRDefault="00AC7D7B" w:rsidP="005E1D74">
      <w:pPr>
        <w:pStyle w:val="Textonotapie"/>
        <w:jc w:val="both"/>
      </w:pPr>
      <w:r w:rsidRPr="00F76130">
        <w:rPr>
          <w:rStyle w:val="Refdenotaalpie"/>
        </w:rPr>
        <w:sym w:font="Symbol" w:char="F02A"/>
      </w:r>
      <w:r>
        <w:t xml:space="preserve"> </w:t>
      </w:r>
      <w:r w:rsidRPr="0095613F">
        <w:rPr>
          <w:rFonts w:ascii="Arial" w:hAnsi="Arial" w:cs="Arial"/>
          <w:sz w:val="18"/>
          <w:szCs w:val="18"/>
          <w:lang w:val="es-MX" w:eastAsia="es-MX"/>
        </w:rPr>
        <w:t>Los regímenes internacionales son principios, normas, reglas y procedimientos de toma de decisiones en torno a los cuales las expectativas de los actores convergen en un área determinada de las relaciones internacionales. Los principios son creencias de hecho, de causalidad o de rectitud. Las normas son estándares de comportamiento definidas en términos de derechos y obligaciones. Las reglas son prescripciones o proscripciones para la acción específicas. Los procedimientos de toma de decisiones son las prácticas prevalecientes para llevar a cabo y aplicar las decisiones colectivas</w:t>
      </w:r>
      <w:r>
        <w:rPr>
          <w:rFonts w:ascii="Arial" w:hAnsi="Arial" w:cs="Arial"/>
          <w:sz w:val="18"/>
          <w:szCs w:val="18"/>
          <w:lang w:val="es-MX" w:eastAsia="es-MX"/>
        </w:rPr>
        <w:t>. Stephen Krasner.</w:t>
      </w:r>
    </w:p>
  </w:footnote>
  <w:footnote w:id="17">
    <w:p w:rsidR="00AC7D7B" w:rsidRDefault="00AC7D7B" w:rsidP="005E1D74">
      <w:pPr>
        <w:pStyle w:val="Textonotapie"/>
        <w:jc w:val="both"/>
      </w:pPr>
      <w:r>
        <w:rPr>
          <w:rStyle w:val="Refdenotaalpie"/>
        </w:rPr>
        <w:footnoteRef/>
      </w:r>
      <w:r>
        <w:t xml:space="preserve"> </w:t>
      </w:r>
      <w:r>
        <w:rPr>
          <w:rFonts w:ascii="Arial" w:hAnsi="Arial" w:cs="Arial"/>
          <w:sz w:val="18"/>
          <w:szCs w:val="18"/>
        </w:rPr>
        <w:t xml:space="preserve">MURILLO ZAMORA, Carlos. </w:t>
      </w:r>
      <w:r w:rsidRPr="00A77B72">
        <w:rPr>
          <w:rFonts w:ascii="Arial" w:hAnsi="Arial" w:cs="Arial"/>
          <w:i/>
          <w:sz w:val="18"/>
          <w:szCs w:val="18"/>
        </w:rPr>
        <w:t>Aproximación a los Regímenes de Integración Regional, una aproximación teórica</w:t>
      </w:r>
      <w:r w:rsidRPr="002C688C">
        <w:rPr>
          <w:rFonts w:ascii="Arial" w:hAnsi="Arial" w:cs="Arial"/>
          <w:sz w:val="18"/>
          <w:szCs w:val="18"/>
        </w:rPr>
        <w:t>,  Tesis de Maestría defendida en Universidad Nacional de Costa Rica, 2002, p. 3.</w:t>
      </w:r>
    </w:p>
  </w:footnote>
  <w:footnote w:id="18">
    <w:p w:rsidR="00AC7D7B" w:rsidRDefault="00AC7D7B" w:rsidP="005E1D74">
      <w:pPr>
        <w:pStyle w:val="Textonotapie"/>
        <w:jc w:val="both"/>
      </w:pPr>
      <w:r w:rsidRPr="0098005E">
        <w:rPr>
          <w:rStyle w:val="Refdenotaalpie"/>
        </w:rPr>
        <w:sym w:font="Symbol" w:char="F02A"/>
      </w:r>
      <w:r w:rsidRPr="0098005E">
        <w:rPr>
          <w:rStyle w:val="Refdenotaalpie"/>
        </w:rPr>
        <w:sym w:font="Symbol" w:char="F02A"/>
      </w:r>
      <w:r>
        <w:t xml:space="preserve"> </w:t>
      </w:r>
      <w:r w:rsidRPr="002C688C">
        <w:rPr>
          <w:rFonts w:ascii="Arial" w:hAnsi="Arial" w:cs="Arial"/>
          <w:sz w:val="18"/>
          <w:szCs w:val="18"/>
        </w:rPr>
        <w:t>Filósofo Mexicano. Principios del método de la investigación científica, 1981.</w:t>
      </w:r>
    </w:p>
  </w:footnote>
  <w:footnote w:id="19">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tomada del sitio web:</w:t>
      </w:r>
      <w:r>
        <w:rPr>
          <w:rFonts w:ascii="Arial" w:hAnsi="Arial" w:cs="Arial"/>
          <w:sz w:val="18"/>
          <w:szCs w:val="18"/>
          <w:lang w:val="es-SV"/>
        </w:rPr>
        <w:t xml:space="preserve"> http://www.derechomaritimo.info/pagina/marpol.htm</w:t>
      </w:r>
    </w:p>
  </w:footnote>
  <w:footnote w:id="20">
    <w:p w:rsidR="00AC7D7B" w:rsidRDefault="00AC7D7B" w:rsidP="00232C32">
      <w:pPr>
        <w:pStyle w:val="Textonotapie"/>
      </w:pPr>
      <w:r>
        <w:rPr>
          <w:rStyle w:val="Refdenotaalpie"/>
        </w:rPr>
        <w:footnoteRef/>
      </w:r>
      <w:r>
        <w:t xml:space="preserve"> </w:t>
      </w:r>
      <w:r>
        <w:rPr>
          <w:rFonts w:ascii="Arial" w:hAnsi="Arial" w:cs="Arial"/>
          <w:sz w:val="18"/>
          <w:szCs w:val="18"/>
        </w:rPr>
        <w:t>Información obtenida del sitio Web: http://www.pacificenergypier400.com/indexS.php?id=15</w:t>
      </w:r>
    </w:p>
  </w:footnote>
  <w:footnote w:id="21">
    <w:p w:rsidR="00AC7D7B" w:rsidRDefault="00AC7D7B" w:rsidP="00232C32">
      <w:pPr>
        <w:pStyle w:val="Textonotapie"/>
        <w:jc w:val="both"/>
      </w:pPr>
      <w:r>
        <w:rPr>
          <w:rStyle w:val="Refdenotaalpie"/>
          <w:rFonts w:ascii="Arial" w:hAnsi="Arial" w:cs="Arial"/>
          <w:sz w:val="18"/>
          <w:szCs w:val="18"/>
        </w:rPr>
        <w:sym w:font="Symbol" w:char="F02A"/>
      </w:r>
      <w:r>
        <w:rPr>
          <w:rFonts w:ascii="Arial" w:hAnsi="Arial" w:cs="Arial"/>
          <w:sz w:val="18"/>
          <w:szCs w:val="18"/>
        </w:rPr>
        <w:t xml:space="preserve"> </w:t>
      </w:r>
      <w:r>
        <w:rPr>
          <w:rFonts w:ascii="Arial" w:hAnsi="Arial" w:cs="Arial"/>
          <w:sz w:val="18"/>
          <w:szCs w:val="18"/>
          <w:lang w:val="es-SV"/>
        </w:rPr>
        <w:t>El tanquero petrolero de mayor tamaño, el cual  puede viajar a través del canal de Panamá (hasta 70,000 TPM). El largo mínimo en pies de 726 y tiene un máximo de797. Su bao mínimo es de 106 pies y su máximo es de 118. La tracción mínima es de 38 pies con un máximo de 45. El tonelaje en peso muerto es de 61,938 con una capacidad máxima de 69,999. Finalmente su capacidad mínima de barriles es de 419, 000 con un máximo de 527,285.</w:t>
      </w:r>
    </w:p>
  </w:footnote>
  <w:footnote w:id="22">
    <w:p w:rsidR="00AC7D7B" w:rsidRDefault="00AC7D7B" w:rsidP="00232C32">
      <w:pPr>
        <w:pStyle w:val="Textonotapie"/>
        <w:jc w:val="both"/>
      </w:pPr>
      <w:r>
        <w:rPr>
          <w:rStyle w:val="Refdenotaalpie"/>
          <w:rFonts w:ascii="Arial" w:hAnsi="Arial" w:cs="Arial"/>
          <w:sz w:val="18"/>
          <w:szCs w:val="18"/>
        </w:rPr>
        <w:sym w:font="Symbol" w:char="F02A"/>
      </w:r>
      <w:r>
        <w:rPr>
          <w:rStyle w:val="Refdenotaalpie"/>
          <w:rFonts w:ascii="Arial" w:hAnsi="Arial" w:cs="Arial"/>
          <w:sz w:val="18"/>
          <w:szCs w:val="18"/>
        </w:rPr>
        <w:sym w:font="Symbol" w:char="F02A"/>
      </w:r>
      <w:r>
        <w:rPr>
          <w:rFonts w:ascii="Arial" w:hAnsi="Arial" w:cs="Arial"/>
          <w:sz w:val="18"/>
          <w:szCs w:val="18"/>
        </w:rPr>
        <w:t xml:space="preserve"> E</w:t>
      </w:r>
      <w:r>
        <w:rPr>
          <w:rStyle w:val="subtext"/>
          <w:rFonts w:ascii="Arial" w:hAnsi="Arial" w:cs="Arial"/>
          <w:sz w:val="18"/>
          <w:szCs w:val="18"/>
        </w:rPr>
        <w:t>s un tamaño de buque, que utiliza el método de Gravamen Promedio de Rango de Carga (Average Freight Rate Assessment) para calcular el costo de la transportación. (70,000 a 120,000  Toneladas de Peso Muerto). Los buques de estas dimensiones tiene una serie de características tales como el largo mínimo que es de 700 pies y con un máximo de 840 pies, lo cual el promedio es de 797. Tiene un bao mínimo de 106 pies y su máximo es de 150 pies, con un promedio de 137.  La tracción mínima de un buque Aframax es de 38 pies, la máxima es de 57, teniendo como promedio 43 pies. En lo que respecta a la capacidad de los barriles es la mínima de 293,000 y su máximo es de 817,000, teniendo por lo tanto un promedio de 705,917. Finalmente el tonelaje peso muerto mínimo es de 70,000, su máximo es de 116,283, dándose de esta manera un promedio de  101,163.</w:t>
      </w:r>
    </w:p>
  </w:footnote>
  <w:footnote w:id="23">
    <w:p w:rsidR="00AC7D7B" w:rsidRDefault="00AC7D7B" w:rsidP="00232C32">
      <w:pPr>
        <w:pStyle w:val="Textonotapie"/>
        <w:jc w:val="both"/>
      </w:pPr>
      <w:r>
        <w:rPr>
          <w:rStyle w:val="Refdenotaalpie"/>
        </w:rPr>
        <w:sym w:font="Symbol" w:char="F02A"/>
      </w:r>
      <w:r>
        <w:rPr>
          <w:rStyle w:val="Refdenotaalpie"/>
        </w:rPr>
        <w:sym w:font="Symbol" w:char="F02A"/>
      </w:r>
      <w:r>
        <w:rPr>
          <w:rStyle w:val="Refdenotaalpie"/>
        </w:rPr>
        <w:sym w:font="Symbol" w:char="F02A"/>
      </w:r>
      <w:r>
        <w:t xml:space="preserve"> </w:t>
      </w:r>
      <w:r>
        <w:rPr>
          <w:rStyle w:val="subtext"/>
          <w:rFonts w:ascii="Arial" w:hAnsi="Arial" w:cs="Arial"/>
          <w:sz w:val="18"/>
          <w:szCs w:val="18"/>
        </w:rPr>
        <w:t>El buque petrolero de mayor tamaño que puede viajar por el Canal de Suez aunque esté cargado. (120,000 a 200,000 o Toneladas de Peso Muerto). Es un tipo de buque que puede transitar por el canal de Suez, este canal se encuentra entre África y Asia. El largo mínimo de estos buques ronda aproximadamente ahí por 817 pies y el máximo por 952 pies, teniendo como promedio 896 pies. El bao mínimo es de 136 pies y su máximo 174, teniendo como promedio 154 pies. La tracción mínima que poseen es de 48 pies y su máxima es de 61, teniendo como promedio aproximadamente 55 pies. El tonelaje del peso muerto en su capacidad mínima es de  121,000 y su capacidad máxima es de 169,204 dando así un promedio de 152,765. Finalmente su capacidad de barriles mínima de 808,000 y su máxima es de1,142,000, dándose de esta manera un promedio de 1,023,882 barriles.</w:t>
      </w:r>
    </w:p>
  </w:footnote>
  <w:footnote w:id="24">
    <w:p w:rsidR="00AC7D7B" w:rsidRDefault="00AC7D7B" w:rsidP="00232C32">
      <w:pPr>
        <w:pStyle w:val="Textonotapie"/>
        <w:jc w:val="both"/>
      </w:pPr>
      <w:r>
        <w:rPr>
          <w:rStyle w:val="Refdenotaalpie"/>
        </w:rPr>
        <w:footnoteRef/>
      </w:r>
      <w:r>
        <w:rPr>
          <w:lang w:val="en-US"/>
        </w:rPr>
        <w:t xml:space="preserve"> </w:t>
      </w:r>
      <w:r>
        <w:rPr>
          <w:rFonts w:ascii="Arial" w:hAnsi="Arial" w:cs="Arial"/>
          <w:sz w:val="18"/>
          <w:szCs w:val="18"/>
          <w:lang w:val="en-US"/>
        </w:rPr>
        <w:t xml:space="preserve">PETROW, Richard. </w:t>
      </w:r>
      <w:r>
        <w:rPr>
          <w:rFonts w:ascii="Arial" w:hAnsi="Arial" w:cs="Arial"/>
          <w:i/>
          <w:sz w:val="18"/>
          <w:szCs w:val="18"/>
          <w:lang w:val="en-US"/>
        </w:rPr>
        <w:t xml:space="preserve">What really caused the Torrey Canyon disaster?, </w:t>
      </w:r>
      <w:r>
        <w:rPr>
          <w:rFonts w:ascii="Arial" w:hAnsi="Arial" w:cs="Arial"/>
          <w:sz w:val="18"/>
          <w:szCs w:val="18"/>
          <w:lang w:val="en-US"/>
        </w:rPr>
        <w:t xml:space="preserve">1969, pp. 114-116. </w:t>
      </w:r>
    </w:p>
  </w:footnote>
  <w:footnote w:id="25">
    <w:p w:rsidR="00AC7D7B" w:rsidRDefault="00AC7D7B" w:rsidP="00232C32">
      <w:pPr>
        <w:autoSpaceDE w:val="0"/>
        <w:autoSpaceDN w:val="0"/>
        <w:adjustRightInd w:val="0"/>
        <w:jc w:val="both"/>
      </w:pPr>
      <w:r>
        <w:rPr>
          <w:rStyle w:val="Refdenotaalpie"/>
          <w:rFonts w:ascii="Arial" w:hAnsi="Arial" w:cs="Arial"/>
          <w:sz w:val="18"/>
          <w:szCs w:val="18"/>
        </w:rPr>
        <w:sym w:font="Symbol" w:char="F02A"/>
      </w:r>
      <w:r>
        <w:t xml:space="preserve"> </w:t>
      </w:r>
      <w:r>
        <w:rPr>
          <w:rFonts w:ascii="Arial" w:hAnsi="Arial" w:cs="Arial"/>
          <w:sz w:val="18"/>
          <w:szCs w:val="18"/>
        </w:rPr>
        <w:t>El daño por contaminación se define en los convenios de 1992 como pérdida o daño causado por la contaminación. Los costos de las medidas preventivas razonables que incluyen la limpieza también entran dentro de esta definición, al igual que cualquier pérdida o daño adicional ocasionado por las medidas preventivas. Para el daño ambiental aparte de la pérdida de beneficio por deterioro del medio ambiente, la indemnización queda restringida a los costos en los que se haya incurrido realmente o en los que vaya a incurrir por medidas razonables de rehabilitación.</w:t>
      </w:r>
    </w:p>
  </w:footnote>
  <w:footnote w:id="26">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Fue un buque de la fuerza naval, construido en 1913 en Portsmouth, Inglaterra. Sirvió en la campaña de los Dardanelos, durante la Primera y Segunda Guerra Mundial.</w:t>
      </w:r>
    </w:p>
  </w:footnote>
  <w:footnote w:id="27">
    <w:p w:rsidR="00AC7D7B" w:rsidRDefault="00AC7D7B" w:rsidP="00232C32">
      <w:pPr>
        <w:pStyle w:val="Textonotapie"/>
        <w:jc w:val="both"/>
      </w:pPr>
      <w:r>
        <w:rPr>
          <w:rStyle w:val="Refdenotaalpie"/>
          <w:rFonts w:ascii="Arial" w:hAnsi="Arial" w:cs="Arial"/>
          <w:sz w:val="18"/>
          <w:szCs w:val="18"/>
        </w:rPr>
        <w:sym w:font="Symbol" w:char="F02A"/>
      </w:r>
      <w:r>
        <w:rPr>
          <w:rFonts w:ascii="Arial" w:hAnsi="Arial" w:cs="Arial"/>
          <w:sz w:val="18"/>
          <w:szCs w:val="18"/>
        </w:rPr>
        <w:t xml:space="preserve"> En cartografía náutica se emplea el término milla náutica internacional, que equivale a una longitud de 1,852 metros, tal como se establece en la resolución técnica A.2.2 de la Organización Hidrográfica Internacional. Esta longitud fue adoptada  en la Conferencia Hidrográfica Internacional Extraordinaria de 1929. A la milla náutica internacional también se le conoce como milla náutica y se representa por nm. </w:t>
      </w:r>
    </w:p>
  </w:footnote>
  <w:footnote w:id="28">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El Canal de Suez fue construido en 1869 por el francés Ferdinand de Lesseps. Se calcula que por lo menos 120,000 trabajadores murieron durante su construcción. En 1955, poco antes del conflicto, cerca de dos tercios del petróleo europeo se transportaba por el canal. En 2005, más de 18,000 buques navegaron por él. Actualmente, alrededor del 7,5% del comercio marítimo pasa por el canal.</w:t>
      </w:r>
    </w:p>
  </w:footnote>
  <w:footnote w:id="29">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El napalm o gasolina gelatinosa es un combustible que produce una combustión más duradera que la de la gasolina simple. Esta característica ha hecho que sea utilizado por algunos ejércitos en varias guerras.</w:t>
      </w:r>
    </w:p>
  </w:footnote>
  <w:footnote w:id="30">
    <w:p w:rsidR="00AC7D7B" w:rsidRDefault="00AC7D7B" w:rsidP="00232C32">
      <w:pPr>
        <w:pStyle w:val="Textonotapie"/>
        <w:jc w:val="both"/>
      </w:pPr>
      <w:r>
        <w:rPr>
          <w:rStyle w:val="Refdenotaalpie"/>
        </w:rPr>
        <w:footnoteRef/>
      </w:r>
      <w:r w:rsidRPr="00816BCE">
        <w:rPr>
          <w:lang w:val="en-GB"/>
        </w:rPr>
        <w:t xml:space="preserve"> </w:t>
      </w:r>
      <w:r w:rsidRPr="00816BCE">
        <w:rPr>
          <w:rStyle w:val="longtext"/>
          <w:rFonts w:ascii="Arial" w:hAnsi="Arial" w:cs="Arial"/>
          <w:sz w:val="18"/>
          <w:szCs w:val="18"/>
          <w:lang w:val="en-GB"/>
        </w:rPr>
        <w:t xml:space="preserve">Revista Professional Mariner. </w:t>
      </w:r>
      <w:r>
        <w:rPr>
          <w:rStyle w:val="articletitle"/>
          <w:rFonts w:ascii="Arial" w:hAnsi="Arial" w:cs="Arial"/>
          <w:i/>
          <w:sz w:val="18"/>
          <w:szCs w:val="18"/>
          <w:lang w:val="en-GB"/>
        </w:rPr>
        <w:t xml:space="preserve">Torrey Canyon alerted the world to the dangers that lay ahead, </w:t>
      </w:r>
      <w:r>
        <w:rPr>
          <w:rStyle w:val="articletitle"/>
          <w:rFonts w:ascii="Arial" w:hAnsi="Arial" w:cs="Arial"/>
          <w:sz w:val="18"/>
          <w:szCs w:val="18"/>
          <w:lang w:val="en-US"/>
        </w:rPr>
        <w:t>2007.</w:t>
      </w:r>
    </w:p>
  </w:footnote>
  <w:footnote w:id="31">
    <w:p w:rsidR="00AC7D7B" w:rsidRDefault="00AC7D7B" w:rsidP="00232C32">
      <w:pPr>
        <w:pStyle w:val="Textonotapie"/>
      </w:pPr>
      <w:r>
        <w:rPr>
          <w:rStyle w:val="Refdenotaalpie"/>
        </w:rPr>
        <w:footnoteRef/>
      </w:r>
      <w:r>
        <w:t xml:space="preserve"> </w:t>
      </w:r>
      <w:r>
        <w:rPr>
          <w:rFonts w:ascii="Arial" w:hAnsi="Arial" w:cs="Arial"/>
          <w:sz w:val="18"/>
          <w:szCs w:val="18"/>
        </w:rPr>
        <w:t xml:space="preserve">Organización Marítima Internacional. </w:t>
      </w:r>
      <w:r>
        <w:rPr>
          <w:rFonts w:ascii="Arial" w:hAnsi="Arial" w:cs="Arial"/>
          <w:i/>
          <w:sz w:val="18"/>
          <w:szCs w:val="18"/>
        </w:rPr>
        <w:t xml:space="preserve">La OMI al día: 25 años del MARPOL, </w:t>
      </w:r>
      <w:r>
        <w:rPr>
          <w:rFonts w:ascii="Arial" w:hAnsi="Arial" w:cs="Arial"/>
          <w:sz w:val="18"/>
          <w:szCs w:val="18"/>
        </w:rPr>
        <w:t>1998, p.4</w:t>
      </w:r>
      <w:r>
        <w:rPr>
          <w:rFonts w:ascii="Arial" w:hAnsi="Arial" w:cs="Arial"/>
          <w:i/>
          <w:sz w:val="18"/>
          <w:szCs w:val="18"/>
        </w:rPr>
        <w:t>.</w:t>
      </w:r>
    </w:p>
  </w:footnote>
  <w:footnote w:id="32">
    <w:p w:rsidR="00AC7D7B" w:rsidRDefault="00AC7D7B" w:rsidP="00232C32">
      <w:pPr>
        <w:pStyle w:val="Textonotapie"/>
        <w:jc w:val="both"/>
      </w:pPr>
      <w:r>
        <w:rPr>
          <w:rStyle w:val="Refdenotaalpie"/>
        </w:rPr>
        <w:footnoteRef/>
      </w:r>
      <w:r>
        <w:t xml:space="preserve"> </w:t>
      </w:r>
      <w:r>
        <w:rPr>
          <w:rFonts w:ascii="Arial" w:hAnsi="Arial" w:cs="Arial"/>
          <w:i/>
          <w:sz w:val="18"/>
          <w:szCs w:val="18"/>
        </w:rPr>
        <w:t xml:space="preserve">Ibídem, </w:t>
      </w:r>
      <w:r>
        <w:rPr>
          <w:rFonts w:ascii="Arial" w:hAnsi="Arial" w:cs="Arial"/>
          <w:sz w:val="18"/>
          <w:szCs w:val="18"/>
        </w:rPr>
        <w:t>p.5.</w:t>
      </w:r>
    </w:p>
  </w:footnote>
  <w:footnote w:id="33">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Derecho Especial de Giro, SDR por sus siglas.</w:t>
      </w:r>
    </w:p>
  </w:footnote>
  <w:footnote w:id="34">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 xml:space="preserve">El 15 de diciembre el petrolero Argo Merchant de 196 m de eslora en medio de una tormenta se encalla en unos bajos en Nantucket Island (Masachusetts). Seis días después se parte en dos y se hunde con 27,000 toneladas de fuel. A los efectos de la tempestad se le añadieron otros factores que dieron como resultado su hundimiento: inexperiencia de la tripulación, cartas anticuadas y giroscopio averiado. </w:t>
      </w:r>
    </w:p>
  </w:footnote>
  <w:footnote w:id="35">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JACOBSSON, Mans. </w:t>
      </w:r>
      <w:r>
        <w:rPr>
          <w:rFonts w:ascii="Arial" w:hAnsi="Arial" w:cs="Arial"/>
          <w:i/>
          <w:sz w:val="18"/>
          <w:szCs w:val="18"/>
        </w:rPr>
        <w:t xml:space="preserve">El régimen internacional de indemnización 25 años después, </w:t>
      </w:r>
      <w:r>
        <w:rPr>
          <w:rFonts w:ascii="Arial" w:hAnsi="Arial" w:cs="Arial"/>
          <w:sz w:val="18"/>
          <w:szCs w:val="18"/>
        </w:rPr>
        <w:t>Director FIDAC, 2003, p.13.</w:t>
      </w:r>
    </w:p>
  </w:footnote>
  <w:footnote w:id="36">
    <w:p w:rsidR="00AC7D7B" w:rsidRDefault="00AC7D7B" w:rsidP="00232C32">
      <w:pPr>
        <w:pStyle w:val="Textonotapie"/>
        <w:jc w:val="both"/>
      </w:pPr>
      <w:r>
        <w:rPr>
          <w:rStyle w:val="Refdenotaalpie"/>
        </w:rPr>
        <w:footnoteRef/>
      </w:r>
      <w:r>
        <w:t xml:space="preserve"> </w:t>
      </w:r>
      <w:r>
        <w:rPr>
          <w:i/>
        </w:rPr>
        <w:t>Ibídem</w:t>
      </w:r>
      <w:r>
        <w:t xml:space="preserve">, </w:t>
      </w:r>
      <w:r>
        <w:rPr>
          <w:rFonts w:ascii="Arial" w:hAnsi="Arial" w:cs="Arial"/>
          <w:sz w:val="18"/>
          <w:szCs w:val="18"/>
        </w:rPr>
        <w:t>p. 12</w:t>
      </w:r>
      <w:r>
        <w:rPr>
          <w:rFonts w:ascii="Arial" w:hAnsi="Arial" w:cs="Arial"/>
          <w:i/>
          <w:sz w:val="18"/>
          <w:szCs w:val="18"/>
        </w:rPr>
        <w:t>.</w:t>
      </w:r>
    </w:p>
  </w:footnote>
  <w:footnote w:id="37">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KINVER, Mark. </w:t>
      </w:r>
      <w:r>
        <w:rPr>
          <w:rFonts w:ascii="Arial" w:hAnsi="Arial" w:cs="Arial"/>
          <w:i/>
          <w:sz w:val="18"/>
          <w:szCs w:val="18"/>
        </w:rPr>
        <w:t>Derrame del Exxon Valdez sigue en Alaska</w:t>
      </w:r>
      <w:r>
        <w:rPr>
          <w:rFonts w:ascii="Arial" w:hAnsi="Arial" w:cs="Arial"/>
          <w:sz w:val="18"/>
          <w:szCs w:val="18"/>
        </w:rPr>
        <w:t>, BBC, artículo de periódico, 2004.</w:t>
      </w:r>
    </w:p>
  </w:footnote>
  <w:footnote w:id="38">
    <w:p w:rsidR="00AC7D7B" w:rsidRDefault="00AC7D7B" w:rsidP="00232C32">
      <w:pPr>
        <w:pStyle w:val="Textonotapie"/>
        <w:jc w:val="both"/>
      </w:pPr>
      <w:r>
        <w:rPr>
          <w:rStyle w:val="Refdenotaalpie"/>
          <w:rFonts w:ascii="Arial" w:hAnsi="Arial" w:cs="Arial"/>
          <w:sz w:val="18"/>
          <w:szCs w:val="18"/>
        </w:rPr>
        <w:sym w:font="Symbol" w:char="F02A"/>
      </w:r>
      <w:r>
        <w:rPr>
          <w:rFonts w:ascii="Arial" w:hAnsi="Arial" w:cs="Arial"/>
          <w:sz w:val="18"/>
          <w:szCs w:val="18"/>
        </w:rPr>
        <w:t xml:space="preserve"> Es importante mencionar que la National Transportation Safety Board investigó el accidente y determinó cinco causas probables de la tierra: (1) El tercer oficial no para maniobrar adecuadamente el buque, posiblemente debido a la fatiga y el exceso de carga de trabajo, (2) el capitán no ha proporcionado un reloj de navegación adecuada , posiblemente debido a la debilitación del alcohol, (3) Exxon Shipping Company no supervisó el maestro y proporcionar un descanso y el equipo suficiente para que el Exxon Valdez, (4) de la Guardia Costera de los EE.UU. no ha proporcionado un sistema de localización eficaz del tráfico, y (5 ) los servicios de practicaje eficaz y se carecía de escolta.</w:t>
      </w:r>
    </w:p>
  </w:footnote>
  <w:footnote w:id="39">
    <w:p w:rsidR="00AC7D7B" w:rsidRDefault="00AC7D7B" w:rsidP="00232C32">
      <w:pPr>
        <w:pStyle w:val="Textonotapie"/>
        <w:jc w:val="both"/>
      </w:pPr>
      <w:r>
        <w:rPr>
          <w:rStyle w:val="Refdenotaalpie"/>
        </w:rPr>
        <w:sym w:font="Symbol" w:char="F02A"/>
      </w:r>
      <w:r>
        <w:rPr>
          <w:rFonts w:ascii="Arial" w:hAnsi="Arial" w:cs="Arial"/>
          <w:sz w:val="18"/>
          <w:szCs w:val="18"/>
        </w:rPr>
        <w:t xml:space="preserve"> Cabe mencionar que la estimación de esta cifra ha sido reafirmada por instituciones como la Administración Nacional Oceánica y Atmosférica (NOAA), Greenpeace y Sierra Club.</w:t>
      </w:r>
    </w:p>
  </w:footnote>
  <w:footnote w:id="40">
    <w:p w:rsidR="00AC7D7B" w:rsidRDefault="00AC7D7B" w:rsidP="00232C32">
      <w:pPr>
        <w:pStyle w:val="Textonotapie"/>
      </w:pPr>
      <w:r>
        <w:rPr>
          <w:rStyle w:val="Refdenotaalpie"/>
        </w:rPr>
        <w:footnoteRef/>
      </w:r>
      <w:r>
        <w:t xml:space="preserve"> </w:t>
      </w:r>
      <w:r>
        <w:rPr>
          <w:rFonts w:ascii="Arial" w:hAnsi="Arial" w:cs="Arial"/>
          <w:i/>
          <w:sz w:val="18"/>
          <w:szCs w:val="18"/>
        </w:rPr>
        <w:t>Op. cit.</w:t>
      </w:r>
      <w:r>
        <w:rPr>
          <w:rFonts w:ascii="Arial" w:hAnsi="Arial" w:cs="Arial"/>
          <w:sz w:val="18"/>
          <w:szCs w:val="18"/>
        </w:rPr>
        <w:t xml:space="preserve">, </w:t>
      </w:r>
      <w:r>
        <w:rPr>
          <w:rFonts w:ascii="Arial" w:hAnsi="Arial" w:cs="Arial"/>
          <w:i/>
          <w:sz w:val="18"/>
          <w:szCs w:val="18"/>
        </w:rPr>
        <w:t xml:space="preserve">la OMI al día, </w:t>
      </w:r>
      <w:r>
        <w:rPr>
          <w:rFonts w:ascii="Arial" w:hAnsi="Arial" w:cs="Arial"/>
          <w:sz w:val="18"/>
          <w:szCs w:val="18"/>
        </w:rPr>
        <w:t>p. 11.</w:t>
      </w:r>
    </w:p>
  </w:footnote>
  <w:footnote w:id="41">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Desde 1996, los petroleros se construyen a doble casco para reducir los riesgos de contaminación en caso de colisión. Pero teniendo en cuenta la edad de los buques que operan actualmente, según los datos que baraja la UE, sólo el 20,8% de los petroleros registrados utilizaban este diseño, es decir, unos 1,300 barcos.</w:t>
      </w:r>
    </w:p>
  </w:footnote>
  <w:footnote w:id="42">
    <w:p w:rsidR="00AC7D7B" w:rsidRDefault="00AC7D7B" w:rsidP="009743F5">
      <w:pPr>
        <w:pStyle w:val="Textonotapie"/>
        <w:jc w:val="both"/>
      </w:pPr>
      <w:r>
        <w:rPr>
          <w:rStyle w:val="Refdenotaalpie"/>
        </w:rPr>
        <w:sym w:font="Symbol" w:char="F02A"/>
      </w:r>
      <w:r>
        <w:t xml:space="preserve"> </w:t>
      </w:r>
      <w:r>
        <w:rPr>
          <w:rFonts w:ascii="Arial" w:hAnsi="Arial" w:cs="Arial"/>
          <w:sz w:val="18"/>
          <w:szCs w:val="18"/>
        </w:rPr>
        <w:t>El concepto de zona económica exclusiva es un elemento esencial del conjunto de transacciones e interrelaciones constituido por la Convención sobre el Derecho del Mar de 1982. Este se entiende como el  área que se extiende hasta 2000 millas náuticas medidas a partir de la línea de base desde la que se mide el mar patrimonial, y en la cual el Estado tiene derechos soberanos para fines de exploración, conservación y administración de los recursos naturales del lecho y subsuelo del mar y las aguas suprayacentes.</w:t>
      </w:r>
    </w:p>
  </w:footnote>
  <w:footnote w:id="43">
    <w:p w:rsidR="00AC7D7B" w:rsidRDefault="00AC7D7B" w:rsidP="009743F5">
      <w:pPr>
        <w:pStyle w:val="Textonotapie"/>
        <w:jc w:val="both"/>
        <w:rPr>
          <w:rFonts w:ascii="Arial" w:hAnsi="Arial" w:cs="Arial"/>
          <w:sz w:val="18"/>
          <w:szCs w:val="18"/>
        </w:rPr>
      </w:pPr>
      <w:r>
        <w:rPr>
          <w:rStyle w:val="Refdenotaalpie"/>
        </w:rPr>
        <w:footnoteRef/>
      </w:r>
      <w:r>
        <w:t xml:space="preserve"> </w:t>
      </w:r>
      <w:r>
        <w:rPr>
          <w:rFonts w:ascii="Arial" w:hAnsi="Arial" w:cs="Arial"/>
          <w:sz w:val="18"/>
          <w:szCs w:val="18"/>
        </w:rPr>
        <w:t>Información tomada del sitio web:</w:t>
      </w:r>
    </w:p>
    <w:p w:rsidR="00AC7D7B" w:rsidRDefault="00AC7D7B" w:rsidP="009743F5">
      <w:pPr>
        <w:pStyle w:val="Textonotapie"/>
        <w:jc w:val="both"/>
      </w:pPr>
      <w:r>
        <w:rPr>
          <w:rFonts w:ascii="Arial" w:hAnsi="Arial" w:cs="Arial"/>
          <w:color w:val="FFFFFF"/>
          <w:sz w:val="18"/>
          <w:szCs w:val="18"/>
        </w:rPr>
        <w:t xml:space="preserve"> </w:t>
      </w:r>
      <w:r>
        <w:rPr>
          <w:rFonts w:ascii="Arial" w:hAnsi="Arial" w:cs="Arial"/>
          <w:sz w:val="18"/>
          <w:szCs w:val="18"/>
        </w:rPr>
        <w:t>http://www.greenpeace.org/international/news/exxon-valdez-disaster-15</w:t>
      </w:r>
    </w:p>
  </w:footnote>
  <w:footnote w:id="44">
    <w:p w:rsidR="00AC7D7B" w:rsidRDefault="00AC7D7B" w:rsidP="009743F5">
      <w:pPr>
        <w:pStyle w:val="Textonotapie"/>
        <w:jc w:val="both"/>
      </w:pPr>
      <w:r>
        <w:rPr>
          <w:rStyle w:val="Refdenotaalpie"/>
          <w:rFonts w:ascii="Arial" w:hAnsi="Arial" w:cs="Arial"/>
          <w:sz w:val="18"/>
          <w:szCs w:val="18"/>
        </w:rPr>
        <w:sym w:font="Symbol" w:char="F02A"/>
      </w:r>
      <w:r>
        <w:rPr>
          <w:rStyle w:val="Refdenotaalpie"/>
          <w:rFonts w:ascii="Arial" w:hAnsi="Arial" w:cs="Arial"/>
          <w:sz w:val="18"/>
          <w:szCs w:val="18"/>
        </w:rPr>
        <w:t xml:space="preserve"> </w:t>
      </w:r>
      <w:r>
        <w:rPr>
          <w:rFonts w:ascii="Arial" w:hAnsi="Arial" w:cs="Arial"/>
          <w:sz w:val="18"/>
          <w:szCs w:val="18"/>
        </w:rPr>
        <w:t>Se define como biorremediación a cualquier proceso que utilice microorganismos, hongos, plantas o las enzimas derivadas de ellos para retornar un medio ambiente alterado por contaminantes a su condición natural. La biorremediación puede ser empleada para atacar contaminantes específicos del suelo, por ejemplo en la degradación bacteriana de compuestos organoclorados o de hidrocarburos. Un ejemplo de un tratamiento más generalizado es el de la limpieza de derrames de petróleo por medio de la adición de fertilizantes con nitratos  o sulfatos  para estimular la reproducción de bacterias nativas o exógenas (introducidas) y de esta forma facilitar la descomposición del petróleo crudo.</w:t>
      </w:r>
    </w:p>
  </w:footnote>
  <w:footnote w:id="45">
    <w:p w:rsidR="00AC7D7B" w:rsidRDefault="00AC7D7B" w:rsidP="00232C32">
      <w:pPr>
        <w:pStyle w:val="Textonotapie"/>
        <w:jc w:val="both"/>
      </w:pPr>
      <w:r>
        <w:rPr>
          <w:rStyle w:val="Refdenotaalpie"/>
          <w:rFonts w:ascii="Arial" w:hAnsi="Arial" w:cs="Arial"/>
          <w:sz w:val="18"/>
          <w:szCs w:val="18"/>
        </w:rPr>
        <w:sym w:font="Symbol" w:char="F02A"/>
      </w:r>
      <w:r>
        <w:rPr>
          <w:rFonts w:ascii="Arial" w:hAnsi="Arial" w:cs="Arial"/>
          <w:sz w:val="18"/>
          <w:szCs w:val="18"/>
        </w:rPr>
        <w:t xml:space="preserve"> Director del Centro para el Desarrollo de los Recursos Naturales y Protección, de la Universidad de Temple, Filadelfia, Estados Unidos.</w:t>
      </w:r>
    </w:p>
  </w:footnote>
  <w:footnote w:id="46">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 xml:space="preserve">Es un grupo petrolero internacional, es el fruto de la unión de Total, Petrofina y ELF Aquitaine. Desarrolla numerosas actividades industriales y comerciales en los sectores de petróleo, gas, y química, abarcando la totalidad de la cadena: exploración y producción de petróleo crudo y gas natural, distribución de gas y generación eléctrica, transporte, refinación y distribución de productos petroleros y comercio internacional de petróleo crudo y productos refinados.        </w:t>
      </w:r>
    </w:p>
  </w:footnote>
  <w:footnote w:id="47">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Organización ecologista y pacifista internacional, económica y políticamente independiente, que no acepta donaciones ni presiones de gobiernos, partidos políticos o empresas.</w:t>
      </w:r>
    </w:p>
  </w:footnote>
  <w:footnote w:id="48">
    <w:p w:rsidR="00AC7D7B" w:rsidRDefault="00AC7D7B" w:rsidP="00232C32">
      <w:pPr>
        <w:pStyle w:val="Textonotapie"/>
        <w:jc w:val="both"/>
      </w:pPr>
      <w:r>
        <w:rPr>
          <w:rStyle w:val="Refdenotaalpie"/>
          <w:rFonts w:ascii="Arial" w:hAnsi="Arial" w:cs="Arial"/>
          <w:sz w:val="18"/>
          <w:szCs w:val="18"/>
        </w:rPr>
        <w:sym w:font="Symbol" w:char="F02A"/>
      </w:r>
      <w:r>
        <w:rPr>
          <w:rFonts w:ascii="Arial" w:hAnsi="Arial" w:cs="Arial"/>
          <w:sz w:val="18"/>
          <w:szCs w:val="18"/>
        </w:rPr>
        <w:t xml:space="preserve"> </w:t>
      </w:r>
      <w:r>
        <w:rPr>
          <w:rFonts w:ascii="Arial" w:hAnsi="Arial" w:cs="Arial"/>
          <w:sz w:val="18"/>
          <w:szCs w:val="18"/>
          <w:lang w:val="es-SV"/>
        </w:rPr>
        <w:t xml:space="preserve">El nombre del capitán es Krun Sudan Mathur, que era natural de la India. </w:t>
      </w:r>
      <w:r>
        <w:rPr>
          <w:rFonts w:ascii="Arial" w:hAnsi="Arial" w:cs="Arial"/>
          <w:sz w:val="18"/>
          <w:szCs w:val="18"/>
        </w:rPr>
        <w:t>Krun Mathur había embarcado en el Erika el 21 de octubre de 1999 en Sebastopol y, en los cincuenta y dos días que pasó a bordo, su buque sufrió una inspección rusa del Convenio de París en Novorossiysk el 12 de noviembre, una vetting de Texaco en Termini Imerese el 20, de RINA en Augusta el 22 junto a otras dos vetting de Exxon y Amoco el 23 y, finalmente, otra vetting de Repsol en Coruña el 3 de diciembre.</w:t>
      </w:r>
    </w:p>
  </w:footnote>
  <w:footnote w:id="49">
    <w:p w:rsidR="00AC7D7B" w:rsidRDefault="00AC7D7B" w:rsidP="00232C32">
      <w:pPr>
        <w:pStyle w:val="Textonotapie"/>
      </w:pPr>
      <w:r>
        <w:rPr>
          <w:rStyle w:val="Refdenotaalpie"/>
        </w:rPr>
        <w:footnoteRef/>
      </w:r>
      <w:r>
        <w:t xml:space="preserve"> </w:t>
      </w:r>
      <w:r>
        <w:rPr>
          <w:rFonts w:ascii="Arial" w:hAnsi="Arial" w:cs="Arial"/>
          <w:sz w:val="18"/>
          <w:szCs w:val="18"/>
          <w:lang w:val="es-SV"/>
        </w:rPr>
        <w:t xml:space="preserve">CALVO, Mario Seoanez. </w:t>
      </w:r>
      <w:r>
        <w:rPr>
          <w:rFonts w:ascii="Arial" w:hAnsi="Arial" w:cs="Arial"/>
          <w:i/>
          <w:sz w:val="18"/>
          <w:szCs w:val="18"/>
          <w:lang w:val="es-SV"/>
        </w:rPr>
        <w:t>Manual de contaminación marina y restauración litoral</w:t>
      </w:r>
      <w:r>
        <w:rPr>
          <w:rFonts w:ascii="Arial" w:hAnsi="Arial" w:cs="Arial"/>
          <w:sz w:val="18"/>
          <w:szCs w:val="18"/>
          <w:lang w:val="es-SV"/>
        </w:rPr>
        <w:t>, España, 2000, p. 295.</w:t>
      </w:r>
    </w:p>
  </w:footnote>
  <w:footnote w:id="50">
    <w:p w:rsidR="00AC7D7B" w:rsidRDefault="00AC7D7B" w:rsidP="00232C32">
      <w:pPr>
        <w:pStyle w:val="Textonotapie"/>
      </w:pPr>
      <w:r>
        <w:rPr>
          <w:rStyle w:val="Refdenotaalpie"/>
        </w:rPr>
        <w:footnoteRef/>
      </w:r>
      <w:r>
        <w:t xml:space="preserve"> </w:t>
      </w:r>
      <w:r>
        <w:rPr>
          <w:rFonts w:ascii="Arial" w:hAnsi="Arial" w:cs="Arial"/>
          <w:sz w:val="18"/>
          <w:szCs w:val="18"/>
        </w:rPr>
        <w:t xml:space="preserve">Síntesis de la legislación de la Unión Europea. </w:t>
      </w:r>
      <w:r>
        <w:rPr>
          <w:rFonts w:ascii="Arial" w:hAnsi="Arial" w:cs="Arial"/>
          <w:i/>
          <w:sz w:val="18"/>
          <w:szCs w:val="18"/>
        </w:rPr>
        <w:t xml:space="preserve">Seguridad marítima: paquete Erika I, </w:t>
      </w:r>
      <w:r>
        <w:rPr>
          <w:rFonts w:ascii="Arial" w:hAnsi="Arial" w:cs="Arial"/>
          <w:sz w:val="18"/>
          <w:szCs w:val="18"/>
        </w:rPr>
        <w:t>Comisión Europea, Unión Europea, 2007.</w:t>
      </w:r>
    </w:p>
  </w:footnote>
  <w:footnote w:id="51">
    <w:p w:rsidR="00AC7D7B" w:rsidRDefault="00AC7D7B" w:rsidP="00232C32">
      <w:pPr>
        <w:pStyle w:val="Textonotapie"/>
        <w:jc w:val="both"/>
      </w:pPr>
      <w:r>
        <w:rPr>
          <w:rStyle w:val="Refdenotaalpie"/>
        </w:rPr>
        <w:sym w:font="Symbol" w:char="F02A"/>
      </w:r>
      <w:r>
        <w:t xml:space="preserve"> </w:t>
      </w:r>
      <w:r>
        <w:rPr>
          <w:rStyle w:val="longtext"/>
          <w:rFonts w:ascii="Arial" w:hAnsi="Arial" w:cs="Arial"/>
          <w:sz w:val="18"/>
          <w:szCs w:val="18"/>
        </w:rPr>
        <w:t>Estado rector del puerto (PSC) es la inspección de buques extranjeros en puertos nacionales por otros inspectores, con el fin de verificar que la competencia del capitán y los oficiales a bordo, el estado del buque y su equipo cumplen con los requisitos de convenios internacionales (por ejemplo, el Convenio SOLAS, MARPOL, STCW, etc.).</w:t>
      </w:r>
    </w:p>
  </w:footnote>
  <w:footnote w:id="52">
    <w:p w:rsidR="00AC7D7B" w:rsidRDefault="00AC7D7B" w:rsidP="00232C32">
      <w:pPr>
        <w:pStyle w:val="Textonotapie"/>
      </w:pPr>
      <w:r>
        <w:rPr>
          <w:rStyle w:val="Refdenotaalpie"/>
        </w:rPr>
        <w:footnoteRef/>
      </w:r>
      <w:r>
        <w:t xml:space="preserve"> </w:t>
      </w:r>
      <w:r>
        <w:rPr>
          <w:rFonts w:ascii="Arial" w:hAnsi="Arial" w:cs="Arial"/>
          <w:i/>
          <w:sz w:val="18"/>
          <w:szCs w:val="18"/>
        </w:rPr>
        <w:t>Op. Cit</w:t>
      </w:r>
      <w:r>
        <w:rPr>
          <w:rFonts w:ascii="Arial" w:hAnsi="Arial" w:cs="Arial"/>
          <w:sz w:val="18"/>
          <w:szCs w:val="18"/>
        </w:rPr>
        <w:t xml:space="preserve">., </w:t>
      </w:r>
      <w:r>
        <w:rPr>
          <w:rFonts w:ascii="Arial" w:hAnsi="Arial" w:cs="Arial"/>
          <w:i/>
          <w:sz w:val="18"/>
          <w:szCs w:val="18"/>
        </w:rPr>
        <w:t>Seguridad marítima: paquete Erika I</w:t>
      </w:r>
      <w:r>
        <w:rPr>
          <w:rFonts w:ascii="Arial" w:hAnsi="Arial" w:cs="Arial"/>
          <w:sz w:val="18"/>
          <w:szCs w:val="18"/>
        </w:rPr>
        <w:t>, 2007.</w:t>
      </w:r>
    </w:p>
  </w:footnote>
  <w:footnote w:id="53">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Síntesis de la legislación de la Unión Europea. </w:t>
      </w:r>
      <w:r>
        <w:rPr>
          <w:rFonts w:ascii="Arial" w:hAnsi="Arial" w:cs="Arial"/>
          <w:i/>
          <w:sz w:val="18"/>
          <w:szCs w:val="18"/>
        </w:rPr>
        <w:t xml:space="preserve">Seguridad marítima: Paquete Erika II. </w:t>
      </w:r>
      <w:r>
        <w:rPr>
          <w:rFonts w:ascii="Arial" w:hAnsi="Arial" w:cs="Arial"/>
          <w:sz w:val="18"/>
          <w:szCs w:val="18"/>
        </w:rPr>
        <w:t>Comisión Europea, Unión Europea, 2007.</w:t>
      </w:r>
    </w:p>
  </w:footnote>
  <w:footnote w:id="54">
    <w:p w:rsidR="00AC7D7B" w:rsidRDefault="00AC7D7B" w:rsidP="00232C32">
      <w:pPr>
        <w:pStyle w:val="Textonotapie"/>
        <w:jc w:val="both"/>
      </w:pPr>
      <w:r>
        <w:rPr>
          <w:rStyle w:val="Refdenotaalpie"/>
        </w:rPr>
        <w:sym w:font="Symbol" w:char="F02A"/>
      </w:r>
      <w:r>
        <w:t xml:space="preserve"> </w:t>
      </w:r>
      <w:r>
        <w:rPr>
          <w:rStyle w:val="longtext"/>
          <w:rFonts w:ascii="Arial" w:hAnsi="Arial" w:cs="Arial"/>
          <w:sz w:val="18"/>
          <w:szCs w:val="18"/>
        </w:rPr>
        <w:t xml:space="preserve">Safe Sea Net es una plataforma europea para el tráfico marítimo de intercambio de datos entre las autoridades marítimas de los Estados miembros, es una red o solución de Internet basado en el concepto de una base de datos distribuida. </w:t>
      </w:r>
    </w:p>
  </w:footnote>
  <w:footnote w:id="55">
    <w:p w:rsidR="00AC7D7B" w:rsidRDefault="00AC7D7B" w:rsidP="00232C32">
      <w:pPr>
        <w:pStyle w:val="Textonotapie"/>
        <w:jc w:val="both"/>
        <w:rPr>
          <w:rFonts w:ascii="Arial" w:hAnsi="Arial" w:cs="Arial"/>
          <w:sz w:val="18"/>
          <w:szCs w:val="18"/>
        </w:rPr>
      </w:pPr>
      <w:r>
        <w:rPr>
          <w:rStyle w:val="Refdenotaalpie"/>
        </w:rPr>
        <w:sym w:font="Symbol" w:char="F02A"/>
      </w:r>
      <w:r>
        <w:rPr>
          <w:rStyle w:val="Refdenotaalpie"/>
        </w:rPr>
        <w:sym w:font="Symbol" w:char="F02A"/>
      </w:r>
      <w:r>
        <w:t xml:space="preserve"> </w:t>
      </w:r>
      <w:r>
        <w:rPr>
          <w:rFonts w:ascii="Arial" w:hAnsi="Arial" w:cs="Arial"/>
          <w:sz w:val="18"/>
          <w:szCs w:val="18"/>
        </w:rPr>
        <w:t>AIS corresponde a las siglas de Automatic Identification System. En español, Sistema de Identificación Automática, El objetivo fundamental del sistema AIS es permitir a los buques comunicar su posición y otras informaciones relevantes para que otros buques o estaciones puedan conocerla. La utilidad más importante es evitar colisiones entre buques.</w:t>
      </w:r>
    </w:p>
    <w:p w:rsidR="00AC7D7B" w:rsidRDefault="00AC7D7B" w:rsidP="00232C32">
      <w:pPr>
        <w:pStyle w:val="Textonotapie"/>
        <w:jc w:val="both"/>
      </w:pPr>
    </w:p>
  </w:footnote>
  <w:footnote w:id="56">
    <w:p w:rsidR="00AC7D7B" w:rsidRDefault="00AC7D7B" w:rsidP="00232C32">
      <w:pPr>
        <w:pStyle w:val="Textonotapie"/>
        <w:jc w:val="both"/>
      </w:pPr>
      <w:r w:rsidRPr="003523A4">
        <w:rPr>
          <w:rStyle w:val="Refdenotaalpie"/>
        </w:rPr>
        <w:sym w:font="Symbol" w:char="F02A"/>
      </w:r>
      <w:r w:rsidRPr="003523A4">
        <w:rPr>
          <w:rStyle w:val="Refdenotaalpie"/>
        </w:rPr>
        <w:sym w:font="Symbol" w:char="F02A"/>
      </w:r>
      <w:r w:rsidRPr="003523A4">
        <w:rPr>
          <w:rStyle w:val="Refdenotaalpie"/>
        </w:rPr>
        <w:sym w:font="Symbol" w:char="F02A"/>
      </w:r>
      <w:r>
        <w:t xml:space="preserve"> </w:t>
      </w:r>
      <w:r>
        <w:rPr>
          <w:rFonts w:ascii="Arial" w:hAnsi="Arial" w:cs="Arial"/>
          <w:sz w:val="18"/>
          <w:szCs w:val="18"/>
        </w:rPr>
        <w:t>La Agencia Europea de Seguridad Aérea es el componente esencial de la estrategia de seguridad aérea de la Unión Europea. Su misión es promover los más altos niveles comunes de seguridad y de protección del medio ambiente de la aviación civil.</w:t>
      </w:r>
    </w:p>
  </w:footnote>
  <w:footnote w:id="57">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tomada del sitio web: http://www.muchapasta.com/b/var/Medidas20Erika.php</w:t>
      </w:r>
    </w:p>
  </w:footnote>
  <w:footnote w:id="58">
    <w:p w:rsidR="00AC7D7B" w:rsidRDefault="00AC7D7B" w:rsidP="00232C32">
      <w:pPr>
        <w:pStyle w:val="Textonotapie"/>
      </w:pPr>
      <w:r>
        <w:rPr>
          <w:rStyle w:val="Refdenotaalpie"/>
        </w:rPr>
        <w:sym w:font="Symbol" w:char="F02A"/>
      </w:r>
      <w:r>
        <w:t xml:space="preserve"> </w:t>
      </w:r>
      <w:r>
        <w:rPr>
          <w:rFonts w:ascii="Arial" w:hAnsi="Arial" w:cs="Arial"/>
          <w:sz w:val="18"/>
          <w:szCs w:val="18"/>
        </w:rPr>
        <w:t>Se denominan monocasco, los buques que no poseen una doble barrera de separación a lo largo de toda la eslora de carga entre los tanques de carga</w:t>
      </w:r>
      <w:r>
        <w:t>.</w:t>
      </w:r>
    </w:p>
  </w:footnote>
  <w:footnote w:id="59">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ZAMORA T. Joan, </w:t>
      </w:r>
      <w:r>
        <w:rPr>
          <w:rFonts w:ascii="Arial" w:hAnsi="Arial" w:cs="Arial"/>
          <w:i/>
          <w:sz w:val="18"/>
          <w:szCs w:val="18"/>
        </w:rPr>
        <w:t xml:space="preserve">La desgracia del Prestige. </w:t>
      </w:r>
      <w:r>
        <w:rPr>
          <w:rFonts w:ascii="Arial" w:hAnsi="Arial" w:cs="Arial"/>
          <w:sz w:val="18"/>
          <w:szCs w:val="18"/>
        </w:rPr>
        <w:t>Revista digital Mare Nostrum, p. 17.</w:t>
      </w:r>
    </w:p>
  </w:footnote>
  <w:footnote w:id="60">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El Comité de Protección del Medio Ambiente Marino (MEPC) aprobó las reglas 13F (para petroleros de nueva construcción) y 13G (para petroleros en servicio), que exigían a determinados petroleros entregados a partir de julio de 1996 que estén  dotados de doble casco y en el caso de los construidos con anterioridad a esa fecha se deberían ajustar a un programa de eliminación en el que se establecían tres categorías de buques. Este programa no fue excesivamente exigente en ese primer momento, y una vez más, las circunstancias en forma de accidente, obligaron a la OMI el anexo 1 en el año 2001, mediante resolución MEPC 95 (46), que establecía un calendario acelerado de eliminación de los buques monocasco y creaba el sistema de evaluación del estado de los buques monocasco. Una última modificación ha entrado en vigor el 5 de abril de 2005, adoptada mediante la resolución MEPC 111 (50) en diciembre de 2003 en ella se modifica la regla 13G y se añade una nueva regla 13H, y establece la obligación de transportar los productos petrolíferos, más peligrosos exclusivamente en buques de doble casco, un programa acelerado de retirarada escalonada de los petroleros de casco único que no podrán seguir en servicio mas allá del 2010, la ampliación y ampliación anticipada del régimen especial de evaluación del estado del buque a todos los buques monocasco de más de 15 años.</w:t>
      </w:r>
    </w:p>
  </w:footnote>
  <w:footnote w:id="61">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El anexo I contiene reglas para prevenir la contaminación por hidrocarburos; el anexo II contiene reglas para prevenir la contaminación por substancias nocivas liquidas transportadas a granel, el anexo III contiene reglas para prevenir la contaminación por substancias perjudiciales transportadas por vías marítimas en paquetes, contenedores, tanques portátiles y camiones, cisternas, vagones – tanques; el anexo IV contiene reglas para prevenir la contaminación por aguas sucias de los buques; el anexo V reglas para prevenir la contaminación por basuras de los buques; y el anexo VI adoptado en 1957 que contiene reglas para prevenir la contaminación atmosférica ocasionada por los buques.</w:t>
      </w:r>
    </w:p>
  </w:footnote>
  <w:footnote w:id="62">
    <w:p w:rsidR="00AC7D7B" w:rsidRDefault="00AC7D7B" w:rsidP="00232C32">
      <w:pPr>
        <w:pStyle w:val="Textonotapie"/>
      </w:pPr>
      <w:r>
        <w:rPr>
          <w:rStyle w:val="Refdenotaalpie"/>
        </w:rPr>
        <w:footnoteRef/>
      </w:r>
      <w:r>
        <w:t xml:space="preserve"> </w:t>
      </w:r>
      <w:r>
        <w:rPr>
          <w:rFonts w:ascii="Arial" w:hAnsi="Arial" w:cs="Arial"/>
          <w:sz w:val="18"/>
          <w:szCs w:val="18"/>
        </w:rPr>
        <w:t>Información obtenida del sitio web: www.marenostrum.org/ecologia/medio_ambiente/prestige/desgracia5.htm</w:t>
      </w:r>
    </w:p>
  </w:footnote>
  <w:footnote w:id="63">
    <w:p w:rsidR="00AC7D7B" w:rsidRDefault="00AC7D7B" w:rsidP="00232C32">
      <w:pPr>
        <w:pStyle w:val="Textonotapie"/>
      </w:pPr>
      <w:r>
        <w:rPr>
          <w:rStyle w:val="Refdenotaalpie"/>
        </w:rPr>
        <w:footnoteRef/>
      </w:r>
      <w:r>
        <w:t xml:space="preserve"> </w:t>
      </w:r>
      <w:r>
        <w:rPr>
          <w:rFonts w:ascii="Arial" w:hAnsi="Arial" w:cs="Arial"/>
          <w:sz w:val="18"/>
          <w:szCs w:val="18"/>
        </w:rPr>
        <w:t>Información obtenida del sitio web: www.miliarium.com/Monografias/MareasNegras/normativa/normativa.asp#UP</w:t>
      </w:r>
    </w:p>
  </w:footnote>
  <w:footnote w:id="64">
    <w:p w:rsidR="00AC7D7B" w:rsidRDefault="00AC7D7B" w:rsidP="00232C32">
      <w:pPr>
        <w:pStyle w:val="Textonotapie"/>
        <w:jc w:val="both"/>
      </w:pPr>
      <w:r>
        <w:rPr>
          <w:rStyle w:val="Refdenotaalpie"/>
        </w:rPr>
        <w:sym w:font="Symbol" w:char="F02A"/>
      </w:r>
      <w:r>
        <w:t xml:space="preserve"> </w:t>
      </w:r>
      <w:r>
        <w:rPr>
          <w:rFonts w:ascii="Arial" w:hAnsi="Arial" w:cs="Arial"/>
          <w:sz w:val="18"/>
          <w:szCs w:val="18"/>
          <w:lang w:val="es-SV"/>
        </w:rPr>
        <w:t>American Bureau of Shipping, por sus siglas en ingles. Es una sociedad de clasificación, es decir que son organizaciones no gubernamentales o grupos de profesionales con el objetivo de promover la seguridad de la vida humana y propiedades, así como la protección del entorno marino</w:t>
      </w:r>
      <w:r>
        <w:rPr>
          <w:lang w:val="es-SV"/>
        </w:rPr>
        <w:t>.</w:t>
      </w:r>
    </w:p>
  </w:footnote>
  <w:footnote w:id="65">
    <w:p w:rsidR="00AC7D7B" w:rsidRDefault="00AC7D7B" w:rsidP="00232C32">
      <w:pPr>
        <w:pStyle w:val="Textonotapie"/>
        <w:rPr>
          <w:rFonts w:ascii="Arial" w:hAnsi="Arial" w:cs="Arial"/>
          <w:sz w:val="18"/>
          <w:szCs w:val="18"/>
        </w:rPr>
      </w:pPr>
      <w:r>
        <w:rPr>
          <w:rStyle w:val="Refdenotaalpie"/>
        </w:rPr>
        <w:footnoteRef/>
      </w:r>
      <w:r>
        <w:t xml:space="preserve"> </w:t>
      </w:r>
      <w:r>
        <w:rPr>
          <w:rFonts w:ascii="Arial" w:hAnsi="Arial" w:cs="Arial"/>
          <w:sz w:val="18"/>
          <w:szCs w:val="18"/>
        </w:rPr>
        <w:t>Información tomada del sitio web:                                                                                           http://comunidad.uem.es/jose-maria-peredo/2010/4/6/la-gran-barrera-coral-australiana-peligro</w:t>
      </w:r>
    </w:p>
    <w:p w:rsidR="00AC7D7B" w:rsidRDefault="00AC7D7B" w:rsidP="00232C32">
      <w:pPr>
        <w:pStyle w:val="Textonotapie"/>
        <w:rPr>
          <w:rFonts w:ascii="Arial" w:hAnsi="Arial" w:cs="Arial"/>
          <w:sz w:val="18"/>
          <w:szCs w:val="18"/>
        </w:rPr>
      </w:pPr>
    </w:p>
    <w:p w:rsidR="00AC7D7B" w:rsidRDefault="00AC7D7B" w:rsidP="00232C32">
      <w:pPr>
        <w:pStyle w:val="Textonotapie"/>
      </w:pPr>
    </w:p>
  </w:footnote>
  <w:footnote w:id="66">
    <w:p w:rsidR="00AC7D7B" w:rsidRDefault="00AC7D7B" w:rsidP="00232C32">
      <w:pPr>
        <w:pStyle w:val="Textonotapie"/>
      </w:pPr>
      <w:r>
        <w:rPr>
          <w:rStyle w:val="Refdenotaalpie"/>
          <w:rFonts w:ascii="Arial" w:hAnsi="Arial" w:cs="Arial"/>
          <w:sz w:val="18"/>
          <w:szCs w:val="18"/>
        </w:rPr>
        <w:footnoteRef/>
      </w:r>
      <w:r>
        <w:rPr>
          <w:rFonts w:ascii="Arial" w:hAnsi="Arial" w:cs="Arial"/>
          <w:sz w:val="18"/>
          <w:szCs w:val="18"/>
        </w:rPr>
        <w:t xml:space="preserve"> BBC Mundo. </w:t>
      </w:r>
      <w:r>
        <w:rPr>
          <w:rFonts w:ascii="Arial" w:hAnsi="Arial" w:cs="Arial"/>
          <w:i/>
          <w:sz w:val="18"/>
          <w:szCs w:val="18"/>
        </w:rPr>
        <w:t>Temen que derrame en Australia afecte la Gran Barrera de Coral</w:t>
      </w:r>
      <w:r>
        <w:rPr>
          <w:rFonts w:ascii="Arial" w:hAnsi="Arial" w:cs="Arial"/>
          <w:sz w:val="18"/>
          <w:szCs w:val="18"/>
        </w:rPr>
        <w:t>, nota de periódico, 4 de abril de 2010.</w:t>
      </w:r>
    </w:p>
  </w:footnote>
  <w:footnote w:id="67">
    <w:p w:rsidR="00AC7D7B" w:rsidRDefault="00AC7D7B" w:rsidP="00232C32">
      <w:pPr>
        <w:pStyle w:val="Textonotapie"/>
        <w:jc w:val="both"/>
      </w:pPr>
      <w:r>
        <w:rPr>
          <w:rStyle w:val="Refdenotaalpie"/>
          <w:rFonts w:ascii="Arial" w:hAnsi="Arial" w:cs="Arial"/>
          <w:sz w:val="18"/>
          <w:szCs w:val="18"/>
        </w:rPr>
        <w:sym w:font="Symbol" w:char="F02A"/>
      </w:r>
      <w:r>
        <w:rPr>
          <w:rStyle w:val="Refdenotaalpie"/>
          <w:rFonts w:ascii="Arial" w:hAnsi="Arial" w:cs="Arial"/>
          <w:sz w:val="18"/>
          <w:szCs w:val="18"/>
        </w:rPr>
        <w:t xml:space="preserve"> </w:t>
      </w:r>
      <w:r>
        <w:rPr>
          <w:rFonts w:ascii="Arial" w:hAnsi="Arial" w:cs="Arial"/>
          <w:sz w:val="18"/>
          <w:szCs w:val="18"/>
        </w:rPr>
        <w:t>Organización de las Naciones Unidas para la Educación, la Ciencia y la Cultura, organismo especializado de las Naciones Unidas fundado en 1945 con el objetivo de contribuir a la paz y a la seguridad en el mundo de la educación, la ciencia, la cultura y las comunicaciones.</w:t>
      </w:r>
    </w:p>
  </w:footnote>
  <w:footnote w:id="68">
    <w:p w:rsidR="00AC7D7B" w:rsidRDefault="00AC7D7B" w:rsidP="00232C32">
      <w:pPr>
        <w:pStyle w:val="Textonotapie"/>
      </w:pPr>
      <w:r>
        <w:rPr>
          <w:rStyle w:val="Refdenotaalpie"/>
        </w:rPr>
        <w:footnoteRef/>
      </w:r>
      <w:r>
        <w:t xml:space="preserve"> </w:t>
      </w:r>
      <w:r>
        <w:rPr>
          <w:rFonts w:ascii="Arial" w:hAnsi="Arial" w:cs="Arial"/>
          <w:sz w:val="18"/>
          <w:szCs w:val="18"/>
        </w:rPr>
        <w:t>Información tomada de sitio web: http:                                  //www.jornada.unam.mx/ultimas/2010/04/05/derrama-buque-chino-combustible-en-la-gran-barrera-de-coral-en-australia</w:t>
      </w:r>
    </w:p>
  </w:footnote>
  <w:footnote w:id="69">
    <w:p w:rsidR="00AC7D7B" w:rsidRDefault="00AC7D7B" w:rsidP="00232C32">
      <w:pPr>
        <w:pStyle w:val="Textonotapie"/>
      </w:pPr>
      <w:r>
        <w:rPr>
          <w:rStyle w:val="Refdenotaalpie"/>
          <w:rFonts w:ascii="Arial" w:hAnsi="Arial" w:cs="Arial"/>
          <w:sz w:val="18"/>
          <w:szCs w:val="18"/>
        </w:rPr>
        <w:footnoteRef/>
      </w:r>
      <w:r>
        <w:rPr>
          <w:rFonts w:ascii="Arial" w:hAnsi="Arial" w:cs="Arial"/>
          <w:i/>
          <w:sz w:val="18"/>
          <w:szCs w:val="18"/>
        </w:rPr>
        <w:t xml:space="preserve"> Ibídem. </w:t>
      </w:r>
    </w:p>
  </w:footnote>
  <w:footnote w:id="70">
    <w:p w:rsidR="00AC7D7B" w:rsidRDefault="00AC7D7B" w:rsidP="00232C32">
      <w:pPr>
        <w:pStyle w:val="Textonotapie"/>
      </w:pPr>
      <w:r>
        <w:rPr>
          <w:rStyle w:val="Refdenotaalpie"/>
        </w:rPr>
        <w:footnoteRef/>
      </w:r>
      <w:r>
        <w:t xml:space="preserve"> </w:t>
      </w:r>
      <w:r>
        <w:rPr>
          <w:rFonts w:ascii="Arial" w:hAnsi="Arial" w:cs="Arial"/>
          <w:sz w:val="18"/>
          <w:szCs w:val="18"/>
        </w:rPr>
        <w:t xml:space="preserve">BBC Mundo. </w:t>
      </w:r>
      <w:r>
        <w:rPr>
          <w:rFonts w:ascii="Arial" w:hAnsi="Arial" w:cs="Arial"/>
          <w:i/>
          <w:sz w:val="18"/>
          <w:szCs w:val="18"/>
        </w:rPr>
        <w:t>Cicatriz de 1 Km. En la Gran Barrera de Coral, carguero chino causó severos daños</w:t>
      </w:r>
      <w:r>
        <w:rPr>
          <w:rFonts w:ascii="Arial" w:hAnsi="Arial" w:cs="Arial"/>
          <w:sz w:val="18"/>
          <w:szCs w:val="18"/>
        </w:rPr>
        <w:t>, nota de periódico, 13 de abril de 2010.</w:t>
      </w:r>
    </w:p>
  </w:footnote>
  <w:footnote w:id="71">
    <w:p w:rsidR="00AC7D7B" w:rsidRDefault="00AC7D7B" w:rsidP="00232C32">
      <w:pPr>
        <w:pStyle w:val="Textonotapie"/>
      </w:pPr>
      <w:r>
        <w:rPr>
          <w:rStyle w:val="Refdenotaalpie"/>
        </w:rPr>
        <w:footnoteRef/>
      </w:r>
      <w:r>
        <w:t xml:space="preserve"> </w:t>
      </w:r>
      <w:r>
        <w:rPr>
          <w:rFonts w:ascii="Arial" w:hAnsi="Arial" w:cs="Arial"/>
          <w:sz w:val="18"/>
          <w:szCs w:val="18"/>
        </w:rPr>
        <w:t>Información tomada de sitio web:                         http://www.merida.gob.mx/observatorio/noticias/abril10/dia05.html</w:t>
      </w:r>
    </w:p>
  </w:footnote>
  <w:footnote w:id="72">
    <w:p w:rsidR="00AC7D7B" w:rsidRDefault="00AC7D7B" w:rsidP="00232C32">
      <w:pPr>
        <w:pStyle w:val="Textonotapie"/>
      </w:pPr>
      <w:r>
        <w:rPr>
          <w:rStyle w:val="Refdenotaalpie"/>
        </w:rPr>
        <w:footnoteRef/>
      </w:r>
      <w:r>
        <w:t xml:space="preserve"> </w:t>
      </w:r>
      <w:r>
        <w:rPr>
          <w:rFonts w:ascii="Arial" w:hAnsi="Arial" w:cs="Arial"/>
          <w:sz w:val="18"/>
          <w:szCs w:val="18"/>
        </w:rPr>
        <w:t>Información tomada de sitio web:                                                                                                http://comunidad.uem.es/jose-maria-peredo/2010/4/6/la-gran-barrera-coral-australiana-peligro</w:t>
      </w:r>
    </w:p>
  </w:footnote>
  <w:footnote w:id="73">
    <w:p w:rsidR="00AC7D7B" w:rsidRDefault="00AC7D7B" w:rsidP="00232C32">
      <w:pPr>
        <w:pStyle w:val="Textonotapie"/>
        <w:jc w:val="both"/>
      </w:pPr>
      <w:r>
        <w:rPr>
          <w:rStyle w:val="Refdenotaalpie"/>
          <w:rFonts w:ascii="Arial" w:hAnsi="Arial" w:cs="Arial"/>
          <w:sz w:val="18"/>
          <w:szCs w:val="18"/>
        </w:rPr>
        <w:sym w:font="Symbol" w:char="F02A"/>
      </w:r>
      <w:r>
        <w:rPr>
          <w:rFonts w:ascii="Arial" w:hAnsi="Arial" w:cs="Arial"/>
          <w:sz w:val="18"/>
          <w:szCs w:val="18"/>
        </w:rPr>
        <w:t>Grupo ecologista de Queensland, Australia.</w:t>
      </w:r>
    </w:p>
  </w:footnote>
  <w:footnote w:id="74">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Información  tomada de  sitio </w:t>
      </w:r>
      <w:r w:rsidRPr="00201277">
        <w:rPr>
          <w:rFonts w:ascii="Arial" w:hAnsi="Arial" w:cs="Arial"/>
          <w:sz w:val="18"/>
          <w:szCs w:val="18"/>
        </w:rPr>
        <w:t xml:space="preserve">web: </w:t>
      </w:r>
      <w:hyperlink r:id="rId3" w:history="1">
        <w:r w:rsidRPr="00201277">
          <w:rPr>
            <w:rStyle w:val="Hipervnculo"/>
            <w:rFonts w:ascii="Arial" w:hAnsi="Arial" w:cs="Arial"/>
            <w:color w:val="auto"/>
            <w:sz w:val="18"/>
            <w:szCs w:val="18"/>
            <w:u w:val="none"/>
          </w:rPr>
          <w:t>www.entornointeligente.com</w:t>
        </w:r>
      </w:hyperlink>
    </w:p>
  </w:footnote>
  <w:footnote w:id="75">
    <w:p w:rsidR="00AC7D7B" w:rsidRDefault="00AC7D7B" w:rsidP="00232C32">
      <w:pPr>
        <w:pStyle w:val="Textonotapie"/>
        <w:jc w:val="both"/>
      </w:pPr>
      <w:r>
        <w:rPr>
          <w:rStyle w:val="Refdenotaalpie"/>
          <w:rFonts w:ascii="Arial" w:hAnsi="Arial" w:cs="Arial"/>
          <w:sz w:val="18"/>
          <w:szCs w:val="18"/>
        </w:rPr>
        <w:footnoteRef/>
      </w:r>
      <w:r>
        <w:rPr>
          <w:rFonts w:ascii="Arial" w:hAnsi="Arial" w:cs="Arial"/>
          <w:sz w:val="18"/>
          <w:szCs w:val="18"/>
        </w:rPr>
        <w:t xml:space="preserve"> Petronews. </w:t>
      </w:r>
      <w:r>
        <w:rPr>
          <w:rFonts w:ascii="Arial" w:hAnsi="Arial" w:cs="Arial"/>
          <w:i/>
          <w:sz w:val="18"/>
          <w:szCs w:val="18"/>
        </w:rPr>
        <w:t>Buque coreano derramó 25 toneladas de petróleo en costas australianas</w:t>
      </w:r>
      <w:r>
        <w:rPr>
          <w:rFonts w:ascii="Arial" w:hAnsi="Arial" w:cs="Arial"/>
          <w:sz w:val="18"/>
          <w:szCs w:val="18"/>
        </w:rPr>
        <w:t>, nota de periódico, 24 de enero de 2006.</w:t>
      </w:r>
    </w:p>
  </w:footnote>
  <w:footnote w:id="76">
    <w:p w:rsidR="00AC7D7B" w:rsidRDefault="00AC7D7B" w:rsidP="00232C32">
      <w:pPr>
        <w:pStyle w:val="Textonotapie"/>
        <w:jc w:val="both"/>
      </w:pPr>
      <w:r>
        <w:rPr>
          <w:rStyle w:val="Refdenotaalpie"/>
          <w:rFonts w:ascii="Arial" w:hAnsi="Arial" w:cs="Arial"/>
          <w:sz w:val="18"/>
          <w:szCs w:val="18"/>
        </w:rPr>
        <w:footnoteRef/>
      </w:r>
      <w:r>
        <w:rPr>
          <w:rFonts w:ascii="Arial" w:hAnsi="Arial" w:cs="Arial"/>
          <w:sz w:val="18"/>
          <w:szCs w:val="18"/>
        </w:rPr>
        <w:t xml:space="preserve"> El Clarín. </w:t>
      </w:r>
      <w:r>
        <w:rPr>
          <w:rFonts w:ascii="Arial" w:hAnsi="Arial" w:cs="Arial"/>
          <w:i/>
          <w:sz w:val="18"/>
          <w:szCs w:val="18"/>
        </w:rPr>
        <w:t>A contrarreloj, intentan controlar el derrame de petróleo en la Gran Barrera de Coral</w:t>
      </w:r>
      <w:r>
        <w:rPr>
          <w:rFonts w:ascii="Arial" w:hAnsi="Arial" w:cs="Arial"/>
          <w:sz w:val="18"/>
          <w:szCs w:val="18"/>
        </w:rPr>
        <w:t>, nota de periódico, 5 de abril de 2010.</w:t>
      </w:r>
    </w:p>
  </w:footnote>
  <w:footnote w:id="77">
    <w:p w:rsidR="00AC7D7B" w:rsidRDefault="00AC7D7B" w:rsidP="00232C32">
      <w:pPr>
        <w:pStyle w:val="Textonotapie"/>
        <w:jc w:val="both"/>
      </w:pPr>
      <w:r>
        <w:rPr>
          <w:rStyle w:val="Refdenotaalpie"/>
          <w:rFonts w:ascii="Arial" w:hAnsi="Arial" w:cs="Arial"/>
        </w:rPr>
        <w:sym w:font="Symbol" w:char="F02A"/>
      </w:r>
      <w:r>
        <w:rPr>
          <w:rStyle w:val="Refdenotaalpie"/>
          <w:rFonts w:ascii="Arial" w:hAnsi="Arial" w:cs="Arial"/>
          <w:sz w:val="18"/>
          <w:szCs w:val="18"/>
        </w:rPr>
        <w:t xml:space="preserve"> </w:t>
      </w:r>
      <w:r>
        <w:rPr>
          <w:rFonts w:ascii="Arial" w:hAnsi="Arial" w:cs="Arial"/>
          <w:sz w:val="18"/>
          <w:szCs w:val="18"/>
        </w:rPr>
        <w:t>La Gran Barrera de Arrecifes de Autoridad del Parque Marino (GBRMPA) son los administradores del parque, se conceden las licencias de las distintas formas de uso del parque marino, supervisar el uso en el parque para garantizar el cumplimiento de la administración del parque. El GBRMPA es un proyecto financiado por el Commonwealth Gobierno Créditos que incluye un cargo de gestión medioambiental que grava los pasajeros permisionarios. En la actualidad esto es US $ 4.50 dólares por día por persona (hasta un máximo de 13.50 dólares por viaje).</w:t>
      </w:r>
    </w:p>
  </w:footnote>
  <w:footnote w:id="78">
    <w:p w:rsidR="00AC7D7B" w:rsidRDefault="00AC7D7B" w:rsidP="00232C32">
      <w:pPr>
        <w:pStyle w:val="Textonotapie"/>
      </w:pPr>
      <w:r>
        <w:rPr>
          <w:rStyle w:val="Refdenotaalpie"/>
        </w:rPr>
        <w:footnoteRef/>
      </w:r>
      <w:r>
        <w:t xml:space="preserve"> </w:t>
      </w:r>
      <w:r>
        <w:rPr>
          <w:rFonts w:ascii="Arial" w:hAnsi="Arial" w:cs="Arial"/>
          <w:sz w:val="18"/>
          <w:szCs w:val="18"/>
        </w:rPr>
        <w:t>Información tomada de sitio web:                                        http://cuidatumadretierra.blogspot.com/2010/05/arrecifes-de-corales-en-peligro.html</w:t>
      </w:r>
    </w:p>
  </w:footnote>
  <w:footnote w:id="79">
    <w:p w:rsidR="00AC7D7B" w:rsidRDefault="00AC7D7B" w:rsidP="00232C32">
      <w:pPr>
        <w:pStyle w:val="Textonotapie"/>
        <w:jc w:val="both"/>
      </w:pPr>
      <w:r>
        <w:rPr>
          <w:rStyle w:val="Refdenotaalpie"/>
        </w:rPr>
        <w:sym w:font="Symbol" w:char="F02A"/>
      </w:r>
      <w:r>
        <w:rPr>
          <w:rStyle w:val="Refdenotaalpie"/>
          <w:rFonts w:ascii="Arial" w:hAnsi="Arial" w:cs="Arial"/>
          <w:sz w:val="18"/>
          <w:szCs w:val="18"/>
        </w:rPr>
        <w:t xml:space="preserve"> </w:t>
      </w:r>
      <w:r>
        <w:rPr>
          <w:rFonts w:ascii="Arial" w:hAnsi="Arial" w:cs="Arial"/>
          <w:sz w:val="18"/>
          <w:szCs w:val="18"/>
        </w:rPr>
        <w:t>Doctor en Derecho Internacional, investigador del Instituto de Investigaciones de la Universidad Nacional Autónoma de México, profesor de Derecho Internacional Público en dicha Universidad.</w:t>
      </w:r>
    </w:p>
  </w:footnote>
  <w:footnote w:id="80">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BECERRA RAMIREZ, Manuel. </w:t>
      </w:r>
      <w:r>
        <w:rPr>
          <w:rFonts w:ascii="Arial" w:hAnsi="Arial" w:cs="Arial"/>
          <w:i/>
          <w:sz w:val="18"/>
          <w:szCs w:val="18"/>
        </w:rPr>
        <w:t>Derecho Internacional Público</w:t>
      </w:r>
      <w:r>
        <w:rPr>
          <w:rFonts w:ascii="Arial" w:hAnsi="Arial" w:cs="Arial"/>
          <w:sz w:val="18"/>
          <w:szCs w:val="18"/>
        </w:rPr>
        <w:t>, Instituto de Investigaciones Jurídicas, Universidad Nacional Autónoma de México, 1991, p. 108.</w:t>
      </w:r>
    </w:p>
  </w:footnote>
  <w:footnote w:id="81">
    <w:p w:rsidR="00AC7D7B" w:rsidRDefault="00AC7D7B" w:rsidP="00232C32">
      <w:pPr>
        <w:pStyle w:val="Textonotapie"/>
        <w:jc w:val="both"/>
      </w:pPr>
      <w:r>
        <w:rPr>
          <w:rStyle w:val="Refdenotaalpie"/>
        </w:rPr>
        <w:footnoteRef/>
      </w:r>
      <w:r>
        <w:t xml:space="preserve"> </w:t>
      </w:r>
      <w:r>
        <w:rPr>
          <w:rFonts w:ascii="Arial" w:hAnsi="Arial" w:cs="Arial"/>
          <w:i/>
          <w:sz w:val="18"/>
          <w:szCs w:val="18"/>
        </w:rPr>
        <w:t xml:space="preserve">Ibídem., </w:t>
      </w:r>
      <w:r>
        <w:rPr>
          <w:rFonts w:ascii="Arial" w:hAnsi="Arial" w:cs="Arial"/>
          <w:sz w:val="18"/>
          <w:szCs w:val="18"/>
        </w:rPr>
        <w:t>p.</w:t>
      </w:r>
      <w:r>
        <w:rPr>
          <w:rFonts w:ascii="Arial" w:hAnsi="Arial" w:cs="Arial"/>
          <w:i/>
          <w:sz w:val="18"/>
          <w:szCs w:val="18"/>
        </w:rPr>
        <w:t xml:space="preserve"> </w:t>
      </w:r>
      <w:r>
        <w:rPr>
          <w:rFonts w:ascii="Arial" w:hAnsi="Arial" w:cs="Arial"/>
          <w:sz w:val="18"/>
          <w:szCs w:val="18"/>
        </w:rPr>
        <w:t>111.</w:t>
      </w:r>
    </w:p>
  </w:footnote>
  <w:footnote w:id="82">
    <w:p w:rsidR="00AC7D7B" w:rsidRDefault="00AC7D7B" w:rsidP="00232C32">
      <w:pPr>
        <w:pStyle w:val="Textonotapie"/>
        <w:jc w:val="both"/>
      </w:pPr>
      <w:r>
        <w:rPr>
          <w:rStyle w:val="Refdenotaalpie"/>
          <w:rFonts w:ascii="Arial" w:hAnsi="Arial" w:cs="Arial"/>
        </w:rPr>
        <w:sym w:font="Symbol" w:char="F02A"/>
      </w:r>
      <w:r>
        <w:rPr>
          <w:rStyle w:val="Refdenotaalpie"/>
          <w:rFonts w:ascii="Arial" w:hAnsi="Arial" w:cs="Arial"/>
          <w:sz w:val="18"/>
          <w:szCs w:val="18"/>
        </w:rPr>
        <w:t xml:space="preserve"> </w:t>
      </w:r>
      <w:r>
        <w:rPr>
          <w:rFonts w:ascii="Arial" w:hAnsi="Arial" w:cs="Arial"/>
          <w:sz w:val="18"/>
          <w:szCs w:val="18"/>
        </w:rPr>
        <w:t xml:space="preserve">Sección española de una de las mayores organizaciones mundiales dedicadas a la conservación de la naturaleza. WWF (World Wildlife Fund for Nature) fue creada en 1961 y en España en 30 de julio de 1968.  La forma de trabajar de Adena (siglas de Asociación para la Defensa de la Naturaleza) se centra más en proyectos de conservación, en contraste con las otras grandes organizaciones ecologistas que actúan en España, Greenpeace y Ecologistas en Acción, que trabajan más la denuncia a escala mundial y local, respectivamente. </w:t>
      </w:r>
    </w:p>
  </w:footnote>
  <w:footnote w:id="83">
    <w:p w:rsidR="00AC7D7B" w:rsidRDefault="00AC7D7B" w:rsidP="00232C32">
      <w:pPr>
        <w:pStyle w:val="Textonotapie"/>
        <w:jc w:val="both"/>
      </w:pPr>
      <w:r>
        <w:rPr>
          <w:rStyle w:val="Refdenotaalpie"/>
        </w:rPr>
        <w:footnoteRef/>
      </w:r>
      <w:r>
        <w:rPr>
          <w:lang w:val="en-US"/>
        </w:rPr>
        <w:t xml:space="preserve"> </w:t>
      </w:r>
      <w:r>
        <w:rPr>
          <w:rFonts w:ascii="Arial" w:hAnsi="Arial" w:cs="Arial"/>
          <w:sz w:val="18"/>
          <w:szCs w:val="18"/>
          <w:lang w:val="en-US"/>
        </w:rPr>
        <w:t xml:space="preserve">World Wildlife Fund for Nature. </w:t>
      </w:r>
      <w:r>
        <w:rPr>
          <w:rFonts w:ascii="Arial" w:hAnsi="Arial" w:cs="Arial"/>
          <w:i/>
          <w:sz w:val="18"/>
          <w:szCs w:val="18"/>
        </w:rPr>
        <w:t xml:space="preserve">Programa de Lucha Contra la Contaminación Marina por Hidrocarburos, </w:t>
      </w:r>
      <w:r>
        <w:rPr>
          <w:rFonts w:ascii="Arial" w:hAnsi="Arial" w:cs="Arial"/>
          <w:sz w:val="18"/>
          <w:szCs w:val="18"/>
        </w:rPr>
        <w:t>Operativo Ergos, España, 2009, p. 2.</w:t>
      </w:r>
    </w:p>
  </w:footnote>
  <w:footnote w:id="84">
    <w:p w:rsidR="00AC7D7B" w:rsidRDefault="00AC7D7B" w:rsidP="00232C32">
      <w:pPr>
        <w:pStyle w:val="Textonotapie"/>
        <w:jc w:val="both"/>
      </w:pPr>
      <w:r>
        <w:rPr>
          <w:rStyle w:val="Refdenotaalpie"/>
        </w:rPr>
        <w:sym w:font="Symbol" w:char="F02A"/>
      </w:r>
      <w:r>
        <w:rPr>
          <w:rStyle w:val="Refdenotaalpie"/>
        </w:rPr>
        <w:sym w:font="Symbol" w:char="F02A"/>
      </w:r>
      <w:r>
        <w:rPr>
          <w:rStyle w:val="Refdenotaalpie"/>
          <w:rFonts w:ascii="Arial" w:hAnsi="Arial" w:cs="Arial"/>
        </w:rPr>
        <w:t xml:space="preserve"> </w:t>
      </w:r>
      <w:r>
        <w:rPr>
          <w:rFonts w:ascii="Arial" w:hAnsi="Arial" w:cs="Arial"/>
          <w:sz w:val="18"/>
          <w:szCs w:val="18"/>
        </w:rPr>
        <w:t>Periodo que comprende las fechas de los siguientes derrames: 24 de enero de 2006; por el buque “Global Peace”, 15 de marzo de 2009; por el buque “Pacific Adventure”, 3 de abril de 2010; por el buque “Shen Neng 1”, suscitados en la zona de la Gran Barrera de Coral.</w:t>
      </w:r>
    </w:p>
  </w:footnote>
  <w:footnote w:id="85">
    <w:p w:rsidR="00AC7D7B" w:rsidRDefault="00AC7D7B" w:rsidP="00232C32">
      <w:pPr>
        <w:pStyle w:val="Textonotapie"/>
        <w:jc w:val="both"/>
      </w:pPr>
      <w:r>
        <w:rPr>
          <w:rStyle w:val="Refdenotaalpie"/>
        </w:rPr>
        <w:footnoteRef/>
      </w:r>
      <w:r>
        <w:rPr>
          <w:lang w:val="es-SV"/>
        </w:rPr>
        <w:t xml:space="preserve"> </w:t>
      </w:r>
      <w:r>
        <w:rPr>
          <w:rFonts w:ascii="Arial" w:hAnsi="Arial" w:cs="Arial"/>
          <w:sz w:val="18"/>
          <w:szCs w:val="18"/>
        </w:rPr>
        <w:t xml:space="preserve">HUERTA VIESCA, María Isabel; RUIZ de VILLA, Daniel Rodríguez. </w:t>
      </w:r>
      <w:r>
        <w:rPr>
          <w:rFonts w:ascii="Arial" w:hAnsi="Arial" w:cs="Arial"/>
          <w:i/>
          <w:sz w:val="18"/>
          <w:szCs w:val="18"/>
        </w:rPr>
        <w:t xml:space="preserve">Responsabilidad civil por contaminación marina por vertido de hidrocarburos. A propósito del Prestige, </w:t>
      </w:r>
      <w:r>
        <w:rPr>
          <w:rFonts w:ascii="Arial" w:hAnsi="Arial" w:cs="Arial"/>
          <w:sz w:val="18"/>
          <w:szCs w:val="18"/>
        </w:rPr>
        <w:t>Publicaciones de la Universidad de Oviedo, 2004, p. 22.</w:t>
      </w:r>
    </w:p>
  </w:footnote>
  <w:footnote w:id="86">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Licenciado en Derecho en 1951 por la Universidad de Sevilla, en 1953 se doctoró en la Universidad de Bolonia. Para el año de 1971 fue nombrado Decano de la primera facultad de Ciencias Económicas y Empresariales creada en Sevilla. Miembro de las Reales Academias de las Buenas Letras, de Medicina y de Jurisprudencia y Legislación de Sevilla.</w:t>
      </w:r>
    </w:p>
  </w:footnote>
  <w:footnote w:id="87">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OLIVENCIA RUIZ, Manuel. </w:t>
      </w:r>
      <w:r>
        <w:rPr>
          <w:rFonts w:ascii="Arial" w:hAnsi="Arial" w:cs="Arial"/>
          <w:i/>
          <w:sz w:val="18"/>
          <w:szCs w:val="18"/>
        </w:rPr>
        <w:t xml:space="preserve">Cuestiones actuales del derecho de seguros, </w:t>
      </w:r>
      <w:r>
        <w:rPr>
          <w:rFonts w:ascii="Arial" w:hAnsi="Arial" w:cs="Arial"/>
          <w:sz w:val="18"/>
          <w:szCs w:val="18"/>
        </w:rPr>
        <w:t>Editorial Telier, Barcelona, 2002, p.19.</w:t>
      </w:r>
    </w:p>
  </w:footnote>
  <w:footnote w:id="88">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Referida a derrames de pequeño o medio tamaño en operaciones de carga y descarga, pequeños accidentes, roturas de depósitos, limpieza de depósitos y sentinas, etc. Que son por oposición contrarias a la operativa o incidental. Consecuencia de las operaciones normales de la utilización de los buques.</w:t>
      </w:r>
    </w:p>
  </w:footnote>
  <w:footnote w:id="89">
    <w:p w:rsidR="00AC7D7B" w:rsidRDefault="00AC7D7B" w:rsidP="00232C32">
      <w:pPr>
        <w:pStyle w:val="Textonotapie"/>
        <w:jc w:val="both"/>
      </w:pPr>
      <w:r>
        <w:rPr>
          <w:rStyle w:val="Refdenotaalpie"/>
        </w:rPr>
        <w:footnoteRef/>
      </w:r>
      <w:r>
        <w:t xml:space="preserve"> </w:t>
      </w:r>
      <w:r>
        <w:rPr>
          <w:rFonts w:ascii="Arial" w:hAnsi="Arial" w:cs="Arial"/>
          <w:i/>
          <w:sz w:val="18"/>
          <w:szCs w:val="18"/>
        </w:rPr>
        <w:t xml:space="preserve">Op. cit., </w:t>
      </w:r>
      <w:r>
        <w:rPr>
          <w:rFonts w:ascii="Arial" w:hAnsi="Arial" w:cs="Arial"/>
          <w:sz w:val="18"/>
          <w:szCs w:val="18"/>
        </w:rPr>
        <w:t>HUERTA VIESCA; RUIZ de VILLA, p. 25.</w:t>
      </w:r>
    </w:p>
  </w:footnote>
  <w:footnote w:id="90">
    <w:p w:rsidR="00AC7D7B" w:rsidRDefault="00AC7D7B" w:rsidP="00232C32">
      <w:pPr>
        <w:pStyle w:val="Textonotapie"/>
        <w:jc w:val="both"/>
      </w:pPr>
      <w:r>
        <w:rPr>
          <w:rStyle w:val="Refdenotaalpie"/>
        </w:rPr>
        <w:sym w:font="Symbol" w:char="F02A"/>
      </w:r>
      <w:r>
        <w:rPr>
          <w:lang w:val="es-MX"/>
        </w:rPr>
        <w:t xml:space="preserve"> </w:t>
      </w:r>
      <w:r>
        <w:rPr>
          <w:rFonts w:ascii="Arial" w:hAnsi="Arial" w:cs="Arial"/>
          <w:sz w:val="18"/>
          <w:szCs w:val="18"/>
        </w:rPr>
        <w:t xml:space="preserve">El cual </w:t>
      </w:r>
      <w:r>
        <w:rPr>
          <w:rFonts w:ascii="Arial" w:hAnsi="Arial" w:cs="Arial"/>
          <w:sz w:val="18"/>
          <w:szCs w:val="18"/>
          <w:lang w:eastAsia="es-MX"/>
        </w:rPr>
        <w:t>se define como: pérdidas o daños causados por la contaminación. Respecto de los daños ambientales (aparte de la pérdida de beneficios resultante del deterioro del medio).</w:t>
      </w:r>
    </w:p>
  </w:footnote>
  <w:footnote w:id="91">
    <w:p w:rsidR="00AC7D7B" w:rsidRDefault="00AC7D7B" w:rsidP="00232C32">
      <w:pPr>
        <w:pStyle w:val="Textonotapie"/>
        <w:jc w:val="both"/>
      </w:pPr>
      <w:r>
        <w:rPr>
          <w:rStyle w:val="Refdenotaalpie"/>
        </w:rPr>
        <w:footnoteRef/>
      </w:r>
      <w:r>
        <w:rPr>
          <w:lang w:val="en-US"/>
        </w:rPr>
        <w:t xml:space="preserve"> </w:t>
      </w:r>
      <w:r>
        <w:rPr>
          <w:rFonts w:ascii="Arial" w:hAnsi="Arial" w:cs="Arial"/>
          <w:i/>
          <w:sz w:val="18"/>
          <w:szCs w:val="18"/>
          <w:lang w:val="en-US"/>
        </w:rPr>
        <w:t xml:space="preserve">Op. Cit., </w:t>
      </w:r>
      <w:r>
        <w:rPr>
          <w:rFonts w:ascii="Arial" w:hAnsi="Arial" w:cs="Arial"/>
          <w:sz w:val="18"/>
          <w:szCs w:val="18"/>
          <w:lang w:val="en-US"/>
        </w:rPr>
        <w:t>World Wildlife Fund for Nation, p. 3.</w:t>
      </w:r>
    </w:p>
  </w:footnote>
  <w:footnote w:id="92">
    <w:p w:rsidR="00AC7D7B" w:rsidRDefault="00AC7D7B" w:rsidP="00232C32">
      <w:pPr>
        <w:pStyle w:val="Textonotapie"/>
        <w:jc w:val="both"/>
      </w:pPr>
      <w:r>
        <w:rPr>
          <w:rStyle w:val="Refdenotaalpie"/>
        </w:rPr>
        <w:footnoteRef/>
      </w:r>
      <w:r>
        <w:t xml:space="preserve"> </w:t>
      </w:r>
      <w:r>
        <w:rPr>
          <w:rFonts w:ascii="Arial" w:hAnsi="Arial" w:cs="Arial"/>
          <w:i/>
          <w:sz w:val="18"/>
          <w:szCs w:val="18"/>
        </w:rPr>
        <w:t xml:space="preserve">Op. Cit., </w:t>
      </w:r>
      <w:r>
        <w:rPr>
          <w:rFonts w:ascii="Arial" w:hAnsi="Arial" w:cs="Arial"/>
          <w:sz w:val="18"/>
          <w:szCs w:val="18"/>
        </w:rPr>
        <w:t>OLIVENCIA RUIZ, p. 20.</w:t>
      </w:r>
    </w:p>
  </w:footnote>
  <w:footnote w:id="93">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 xml:space="preserve">Por ejemplo, en el hecho constatado por la práctica de que para el transporte de fuel pesado, de menor relevancia económica que otros hidrocarburos, se suelen utilizar los buques más viejo del mercado, abanderados en paraísos fiscales con tripulaciones procedentes del tercer mundo, buques ya amortizados que pueden ofrecer un bajo nivel de precios por el flete. </w:t>
      </w:r>
    </w:p>
  </w:footnote>
  <w:footnote w:id="94">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Esta Convención fue adoptada en Montego Bay en 1982 y cuya entrada en vigor general se produjo el 16 de noviembre de 1994. Convención de amplio calado, fruto de intensas y extensas sesiones de trabajo y cuya principal consecuencia fue la de considerar al mar desde un punto de vista fundamentalmente económico donde lo más importante eran los derechos de los Estados costeros, a explotar los recursos existentes en las zonas próximas a sus respectivas costas. Actualmente ha sido ratificada por 149 Estados.</w:t>
      </w:r>
    </w:p>
  </w:footnote>
  <w:footnote w:id="95">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Se define como buques sub</w:t>
      </w:r>
      <w:r>
        <w:rPr>
          <w:rFonts w:ascii="Arial" w:hAnsi="Arial" w:cs="Arial"/>
          <w:sz w:val="18"/>
          <w:szCs w:val="18"/>
          <w:lang w:val="es-SV"/>
        </w:rPr>
        <w:t>-</w:t>
      </w:r>
      <w:r>
        <w:rPr>
          <w:rFonts w:ascii="Arial" w:hAnsi="Arial" w:cs="Arial"/>
          <w:sz w:val="18"/>
          <w:szCs w:val="18"/>
        </w:rPr>
        <w:t>standard aquellos que por sus deficiencias de construcción, estado de conservación, dotación o equipo no cumple con las normas internacionales sobre seguridad marítima y, por ello suponen un riesgo evidente para el litoral y sus recursos vivos.</w:t>
      </w:r>
    </w:p>
  </w:footnote>
  <w:footnote w:id="96">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En el artículo 2 de la CONVEMAR, se define como la franja de mar adyacente al territorio de las aguas interiores de un Estado. Su extensión máxima es de 12 millas contadas desde las líneas de base.</w:t>
      </w:r>
    </w:p>
  </w:footnote>
  <w:footnote w:id="97">
    <w:p w:rsidR="00AC7D7B" w:rsidRDefault="00AC7D7B" w:rsidP="00232C32">
      <w:pPr>
        <w:pStyle w:val="Textonotapie"/>
        <w:jc w:val="both"/>
      </w:pPr>
      <w:r>
        <w:rPr>
          <w:rStyle w:val="Refdenotaalpie"/>
        </w:rPr>
        <w:sym w:font="Symbol" w:char="F02A"/>
      </w:r>
      <w:r>
        <w:rPr>
          <w:rStyle w:val="Refdenotaalpie"/>
        </w:rPr>
        <w:sym w:font="Symbol" w:char="F02A"/>
      </w:r>
      <w:r>
        <w:rPr>
          <w:rStyle w:val="Refdenotaalpie"/>
        </w:rPr>
        <w:sym w:font="Symbol" w:char="F02A"/>
      </w:r>
      <w:r>
        <w:t xml:space="preserve"> </w:t>
      </w:r>
      <w:r>
        <w:rPr>
          <w:rFonts w:ascii="Arial" w:hAnsi="Arial" w:cs="Arial"/>
          <w:sz w:val="18"/>
          <w:szCs w:val="18"/>
        </w:rPr>
        <w:t>El paso inocente se define en los artículos 18 y 19 de la CONVEMAR.</w:t>
      </w:r>
    </w:p>
  </w:footnote>
  <w:footnote w:id="98">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OMI. </w:t>
      </w:r>
      <w:r>
        <w:rPr>
          <w:rFonts w:ascii="Arial" w:hAnsi="Arial" w:cs="Arial"/>
          <w:i/>
          <w:sz w:val="18"/>
          <w:szCs w:val="18"/>
        </w:rPr>
        <w:t xml:space="preserve">60 años al servicio del transporte marítimo.  </w:t>
      </w:r>
      <w:r>
        <w:rPr>
          <w:rFonts w:ascii="Arial" w:hAnsi="Arial" w:cs="Arial"/>
          <w:sz w:val="18"/>
          <w:szCs w:val="18"/>
        </w:rPr>
        <w:t>Revista Día Marítimo Mundial, 2008, p. 2.</w:t>
      </w:r>
    </w:p>
  </w:footnote>
  <w:footnote w:id="99">
    <w:p w:rsidR="00AC7D7B" w:rsidRDefault="00AC7D7B" w:rsidP="00232C32">
      <w:pPr>
        <w:pStyle w:val="Textonotapie"/>
        <w:jc w:val="both"/>
      </w:pPr>
      <w:r>
        <w:rPr>
          <w:rStyle w:val="Refdenotaalpie"/>
          <w:rFonts w:ascii="Arial" w:hAnsi="Arial" w:cs="Arial"/>
        </w:rPr>
        <w:sym w:font="Symbol" w:char="F02A"/>
      </w:r>
      <w:r>
        <w:rPr>
          <w:rFonts w:ascii="Arial" w:hAnsi="Arial" w:cs="Arial"/>
        </w:rPr>
        <w:t xml:space="preserve"> </w:t>
      </w:r>
      <w:r>
        <w:rPr>
          <w:rFonts w:ascii="Arial" w:hAnsi="Arial" w:cs="Arial"/>
          <w:sz w:val="18"/>
          <w:szCs w:val="18"/>
        </w:rPr>
        <w:t>Goal Based Standards, es por sus siglas en inglés.</w:t>
      </w:r>
    </w:p>
  </w:footnote>
  <w:footnote w:id="100">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OMI. </w:t>
      </w:r>
      <w:r>
        <w:rPr>
          <w:rFonts w:ascii="Arial" w:hAnsi="Arial" w:cs="Arial"/>
          <w:i/>
          <w:sz w:val="18"/>
          <w:szCs w:val="18"/>
        </w:rPr>
        <w:t>Comité de Seguridad Marítima de la OMI adopta históricos reglamentos de construcción de buques</w:t>
      </w:r>
      <w:r>
        <w:rPr>
          <w:rFonts w:ascii="Arial" w:hAnsi="Arial" w:cs="Arial"/>
          <w:sz w:val="18"/>
          <w:szCs w:val="18"/>
        </w:rPr>
        <w:t>, 12-21 de mayo de 2010.</w:t>
      </w:r>
    </w:p>
    <w:p w:rsidR="00AC7D7B" w:rsidRDefault="00AC7D7B" w:rsidP="00232C32">
      <w:pPr>
        <w:pStyle w:val="Textonotapie"/>
        <w:jc w:val="both"/>
      </w:pPr>
    </w:p>
  </w:footnote>
  <w:footnote w:id="101">
    <w:p w:rsidR="00AC7D7B" w:rsidRDefault="00AC7D7B" w:rsidP="00232C32">
      <w:pPr>
        <w:pStyle w:val="Textonotapie"/>
        <w:jc w:val="both"/>
      </w:pPr>
      <w:r>
        <w:rPr>
          <w:rStyle w:val="Refdenotaalpie"/>
        </w:rPr>
        <w:sym w:font="Symbol" w:char="F02A"/>
      </w:r>
      <w:r>
        <w:t xml:space="preserve"> </w:t>
      </w:r>
      <w:r>
        <w:rPr>
          <w:rFonts w:ascii="Arial" w:hAnsi="Arial" w:cs="Arial"/>
          <w:sz w:val="18"/>
          <w:szCs w:val="18"/>
          <w:lang w:val="es-SV"/>
        </w:rPr>
        <w:t xml:space="preserve">El término de logística, no es un término nuevo que se utiliza hace un par de años atrás sino que se utiliza allá por el siglo VII antes de Cristo. En esa época, en Grecia, se utilizaba en el ámbito militar con el término “logístico” que era el encargado principalmente </w:t>
      </w:r>
      <w:r>
        <w:rPr>
          <w:rFonts w:ascii="Arial" w:hAnsi="Arial" w:cs="Arial"/>
          <w:sz w:val="18"/>
          <w:szCs w:val="18"/>
        </w:rPr>
        <w:t>de determinar las cantidades de pertrechos que se necesitarían para avanzar de acuerdo a los planes. Por lo tanto, este logístico en una primera instancia era sólo un calculista. Posteriormente, en el siglo II DC, aproximadamente, en la época romana, surge el concepto de “Logista”, cuya misión era la de proveer de los suministros necesarios a las tropas. Así poco a poco fue evolucionado este término y sus definición adaptándose a los cambios de la realidad, es así como logística se puede considerar como todo un proceso que incluye diversas actividades como la planificación, implementación y control de bienes y servicios, relacionada desde el punto de vista de origen al punto de vista de consumo para poder cumplir con los requerimientos de los clientes, y todo esto de manera eficiente.</w:t>
      </w:r>
    </w:p>
  </w:footnote>
  <w:footnote w:id="102">
    <w:p w:rsidR="00AC7D7B" w:rsidRDefault="00AC7D7B" w:rsidP="00232C32">
      <w:pPr>
        <w:pStyle w:val="Textonotapie"/>
      </w:pPr>
      <w:r>
        <w:rPr>
          <w:rStyle w:val="Refdenotaalpie"/>
        </w:rPr>
        <w:footnoteRef/>
      </w:r>
      <w:r>
        <w:t xml:space="preserve"> </w:t>
      </w:r>
      <w:r>
        <w:rPr>
          <w:rFonts w:ascii="Arial" w:hAnsi="Arial" w:cs="Arial"/>
          <w:sz w:val="18"/>
          <w:szCs w:val="18"/>
        </w:rPr>
        <w:t xml:space="preserve">RUÁ COSTA, Carles. </w:t>
      </w:r>
      <w:r>
        <w:rPr>
          <w:rFonts w:ascii="Arial" w:hAnsi="Arial" w:cs="Arial"/>
          <w:i/>
          <w:sz w:val="18"/>
          <w:szCs w:val="18"/>
        </w:rPr>
        <w:t>Los puertos en el transporte marítimo</w:t>
      </w:r>
      <w:r>
        <w:rPr>
          <w:rFonts w:ascii="Arial" w:hAnsi="Arial" w:cs="Arial"/>
          <w:sz w:val="18"/>
          <w:szCs w:val="18"/>
        </w:rPr>
        <w:t>, Universidad Politécnica de Catalunya, España, 2006, p. 2.</w:t>
      </w:r>
    </w:p>
  </w:footnote>
  <w:footnote w:id="103">
    <w:p w:rsidR="00AC7D7B" w:rsidRDefault="00AC7D7B" w:rsidP="00232C32">
      <w:pPr>
        <w:pStyle w:val="Textonotapie"/>
      </w:pPr>
      <w:r>
        <w:rPr>
          <w:rStyle w:val="Refdenotaalpie"/>
        </w:rPr>
        <w:footnoteRef/>
      </w:r>
      <w:r>
        <w:t xml:space="preserve"> </w:t>
      </w:r>
      <w:r>
        <w:rPr>
          <w:rFonts w:ascii="Arial" w:hAnsi="Arial" w:cs="Arial"/>
          <w:i/>
          <w:sz w:val="18"/>
          <w:szCs w:val="18"/>
        </w:rPr>
        <w:t xml:space="preserve">Ibídem., </w:t>
      </w:r>
      <w:r>
        <w:rPr>
          <w:rFonts w:ascii="Arial" w:hAnsi="Arial" w:cs="Arial"/>
          <w:sz w:val="18"/>
          <w:szCs w:val="18"/>
        </w:rPr>
        <w:t>p. 2</w:t>
      </w:r>
      <w:r>
        <w:rPr>
          <w:rFonts w:ascii="Arial" w:hAnsi="Arial" w:cs="Arial"/>
          <w:i/>
          <w:sz w:val="18"/>
          <w:szCs w:val="18"/>
        </w:rPr>
        <w:t>.</w:t>
      </w:r>
    </w:p>
  </w:footnote>
  <w:footnote w:id="104">
    <w:p w:rsidR="00AC7D7B" w:rsidRDefault="00AC7D7B" w:rsidP="00232C32">
      <w:pPr>
        <w:pStyle w:val="Textonotapie"/>
      </w:pPr>
      <w:r>
        <w:rPr>
          <w:rStyle w:val="Refdenotaalpie"/>
        </w:rPr>
        <w:footnoteRef/>
      </w:r>
      <w:r>
        <w:t xml:space="preserve"> </w:t>
      </w:r>
      <w:r>
        <w:rPr>
          <w:rFonts w:ascii="Arial" w:hAnsi="Arial" w:cs="Arial"/>
          <w:sz w:val="18"/>
          <w:szCs w:val="18"/>
        </w:rPr>
        <w:t>O</w:t>
      </w:r>
      <w:r>
        <w:rPr>
          <w:rFonts w:ascii="Arial" w:hAnsi="Arial" w:cs="Arial"/>
          <w:i/>
          <w:sz w:val="18"/>
          <w:szCs w:val="18"/>
        </w:rPr>
        <w:t>p. cit</w:t>
      </w:r>
      <w:r>
        <w:rPr>
          <w:rFonts w:ascii="Arial" w:hAnsi="Arial" w:cs="Arial"/>
          <w:sz w:val="18"/>
          <w:szCs w:val="18"/>
        </w:rPr>
        <w:t>., RÚA COSTA, p. 3.</w:t>
      </w:r>
    </w:p>
  </w:footnote>
  <w:footnote w:id="105">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obtenida del sitio web http://www.puertolaunion.gob.sv/?articulo=1000</w:t>
      </w:r>
    </w:p>
  </w:footnote>
  <w:footnote w:id="106">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obtenida del sitio web: http://www.nuestroacajutla.com/acajutla.php</w:t>
      </w:r>
    </w:p>
  </w:footnote>
  <w:footnote w:id="107">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obtenida del sitio web: http://www.cepa.gob.sv/contenido.php?cont=16&amp;id=8</w:t>
      </w:r>
    </w:p>
  </w:footnote>
  <w:footnote w:id="108">
    <w:p w:rsidR="00AC7D7B" w:rsidRDefault="00AC7D7B" w:rsidP="00232C32">
      <w:pPr>
        <w:pStyle w:val="Textonotapie"/>
      </w:pPr>
      <w:r>
        <w:rPr>
          <w:rStyle w:val="Refdenotaalpie"/>
        </w:rPr>
        <w:footnoteRef/>
      </w:r>
      <w:r>
        <w:t xml:space="preserve"> </w:t>
      </w:r>
      <w:r>
        <w:rPr>
          <w:rFonts w:ascii="Arial" w:hAnsi="Arial" w:cs="Arial"/>
          <w:sz w:val="18"/>
          <w:szCs w:val="18"/>
        </w:rPr>
        <w:t xml:space="preserve">CASTANEDA LAZO, Ana Bertha, </w:t>
      </w:r>
      <w:r>
        <w:rPr>
          <w:rFonts w:ascii="Arial" w:hAnsi="Arial" w:cs="Arial"/>
          <w:i/>
          <w:sz w:val="18"/>
          <w:szCs w:val="18"/>
        </w:rPr>
        <w:t>et al.</w:t>
      </w:r>
      <w:r>
        <w:rPr>
          <w:rFonts w:ascii="Arial" w:hAnsi="Arial" w:cs="Arial"/>
          <w:sz w:val="18"/>
          <w:szCs w:val="18"/>
        </w:rPr>
        <w:t xml:space="preserve"> </w:t>
      </w:r>
      <w:r>
        <w:rPr>
          <w:rFonts w:ascii="Arial" w:hAnsi="Arial" w:cs="Arial"/>
          <w:i/>
          <w:sz w:val="18"/>
          <w:szCs w:val="18"/>
        </w:rPr>
        <w:t>Perspectivas del desarrollo portuario en El Salvador</w:t>
      </w:r>
      <w:r>
        <w:rPr>
          <w:rFonts w:ascii="Arial" w:hAnsi="Arial" w:cs="Arial"/>
          <w:sz w:val="18"/>
          <w:szCs w:val="18"/>
        </w:rPr>
        <w:t>, Facultad de Ciencias Económicas y Empresariales, Universidad Centroamericana José Simeón Cañas, 2008, pp. 22-25.</w:t>
      </w:r>
    </w:p>
  </w:footnote>
  <w:footnote w:id="109">
    <w:p w:rsidR="00AC7D7B" w:rsidRDefault="00AC7D7B" w:rsidP="00232C32">
      <w:pPr>
        <w:pStyle w:val="Textonotapie"/>
      </w:pPr>
      <w:r>
        <w:rPr>
          <w:rStyle w:val="Refdenotaalpie"/>
        </w:rPr>
        <w:footnoteRef/>
      </w:r>
      <w:r>
        <w:t xml:space="preserve"> </w:t>
      </w:r>
      <w:r>
        <w:rPr>
          <w:rFonts w:ascii="Arial" w:hAnsi="Arial" w:cs="Arial"/>
          <w:i/>
          <w:sz w:val="18"/>
          <w:szCs w:val="18"/>
        </w:rPr>
        <w:t xml:space="preserve">Ibídem </w:t>
      </w:r>
      <w:r>
        <w:rPr>
          <w:rFonts w:ascii="Arial" w:hAnsi="Arial" w:cs="Arial"/>
          <w:sz w:val="18"/>
          <w:szCs w:val="18"/>
        </w:rPr>
        <w:t>p. 25.</w:t>
      </w:r>
    </w:p>
  </w:footnote>
  <w:footnote w:id="110">
    <w:p w:rsidR="00AC7D7B" w:rsidRDefault="00AC7D7B" w:rsidP="00232C32">
      <w:pPr>
        <w:pStyle w:val="Textonotapie"/>
      </w:pPr>
      <w:r>
        <w:rPr>
          <w:rStyle w:val="Refdenotaalpie"/>
        </w:rPr>
        <w:footnoteRef/>
      </w:r>
      <w:r>
        <w:t xml:space="preserve"> </w:t>
      </w:r>
      <w:r>
        <w:rPr>
          <w:rFonts w:ascii="Arial" w:hAnsi="Arial" w:cs="Arial"/>
          <w:i/>
          <w:sz w:val="18"/>
          <w:szCs w:val="18"/>
        </w:rPr>
        <w:t xml:space="preserve">Ibídem </w:t>
      </w:r>
      <w:r>
        <w:rPr>
          <w:rFonts w:ascii="Arial" w:hAnsi="Arial" w:cs="Arial"/>
          <w:sz w:val="18"/>
          <w:szCs w:val="18"/>
        </w:rPr>
        <w:t>p. 26.</w:t>
      </w:r>
    </w:p>
  </w:footnote>
  <w:footnote w:id="111">
    <w:p w:rsidR="00AC7D7B" w:rsidRDefault="00AC7D7B" w:rsidP="00232C32">
      <w:pPr>
        <w:pStyle w:val="Textonotapie"/>
        <w:jc w:val="both"/>
      </w:pPr>
      <w:r>
        <w:rPr>
          <w:rStyle w:val="Refdenotaalpie"/>
          <w:rFonts w:ascii="Arial" w:hAnsi="Arial" w:cs="Arial"/>
        </w:rPr>
        <w:sym w:font="Symbol" w:char="F02A"/>
      </w:r>
      <w:r>
        <w:rPr>
          <w:rFonts w:ascii="Arial" w:hAnsi="Arial" w:cs="Arial"/>
          <w:sz w:val="18"/>
          <w:szCs w:val="18"/>
        </w:rPr>
        <w:t xml:space="preserve"> La boya es un cuerpo de dimensiones fluctuantes, forma y color definidos, habitualmente de hierro o fibra de vidrio, que se fondea en una posición conocida. </w:t>
      </w:r>
    </w:p>
  </w:footnote>
  <w:footnote w:id="112">
    <w:p w:rsidR="00AC7D7B" w:rsidRDefault="00AC7D7B" w:rsidP="00232C32">
      <w:pPr>
        <w:autoSpaceDE w:val="0"/>
        <w:jc w:val="both"/>
        <w:rPr>
          <w:rFonts w:ascii="Arial" w:hAnsi="Arial" w:cs="Arial"/>
          <w:iCs/>
          <w:sz w:val="18"/>
          <w:szCs w:val="18"/>
        </w:rPr>
      </w:pPr>
      <w:r>
        <w:rPr>
          <w:rStyle w:val="Refdenotaalpie"/>
          <w:sz w:val="20"/>
          <w:szCs w:val="20"/>
        </w:rPr>
        <w:sym w:font="Symbol" w:char="F02A"/>
      </w:r>
      <w:r>
        <w:rPr>
          <w:rStyle w:val="Refdenotaalpie"/>
          <w:sz w:val="20"/>
          <w:szCs w:val="20"/>
        </w:rPr>
        <w:sym w:font="Symbol" w:char="F02A"/>
      </w:r>
      <w:r>
        <w:rPr>
          <w:rFonts w:ascii="Arial" w:hAnsi="Arial" w:cs="Arial"/>
          <w:sz w:val="18"/>
          <w:szCs w:val="18"/>
        </w:rPr>
        <w:t xml:space="preserve"> A raíz de los actos terroristas acontecidos en los Estados Unidos, el 11 de septiembre de 2001, se vió la necesidad de incrementar las medidas de seguridad en todos los puertos del mundo en general, con el fin de contrarrestar el accionar de los grupos terroristas que buscan protagonismo a través de acciones de impacto mundial, por eso la OMI adopta el código ISPS (Siglas en inglés) y en Español PBIP (Código Internacional para la protección de los buques y de las instalaciones portuarias) mediante resolución adoptada el 12 de diciembre de 2002 por la conferencia de los Gobiernos contratantes del Convenio Internacional para la seguridad de la vida humana en el mar y enmiendas necesarias a los capítulos V y XI del convenio SOLAS, mediante las cuales el código será de obligado cumplimiento a partir del 1 de julio de 2004. El PBIP </w:t>
      </w:r>
      <w:r>
        <w:rPr>
          <w:rFonts w:ascii="Arial" w:hAnsi="Arial" w:cs="Arial"/>
          <w:iCs/>
          <w:sz w:val="18"/>
          <w:szCs w:val="18"/>
        </w:rPr>
        <w:t>Es el código que establece un marco internacional para la cooperación entre los Gobiernos, los organismos gubernamentales, administraciones locales y los sectores naviero y portuario con el fin de detectar y evaluar las amenazas para la protección marítima y tomar medidas preventivas contra los sucesos que afecten la protección de los buques e instalaciones portuarias utilizados para el comercio internacional (terrorismo, narcotráfico, tráfico ilegal de armas, hurto, tráfico ilegal de personas, piratería). La aplicación a nivel buques inicialmente se dará para aquellos que movilicen carga superior a 500 toneladas, pero hay que tener en cuenta que los Estados Unidos la aplicarán a buques con capacidad mayor a 100 toneladas.</w:t>
      </w:r>
    </w:p>
    <w:p w:rsidR="00AC7D7B" w:rsidRDefault="00AC7D7B" w:rsidP="00232C32">
      <w:pPr>
        <w:autoSpaceDE w:val="0"/>
        <w:jc w:val="both"/>
      </w:pPr>
    </w:p>
  </w:footnote>
  <w:footnote w:id="113">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Las agencias navieras son los representantes del armador en un puerto determinado, por su ello su función primordial es la de representar a su cliente. El cual ha delegado en su persona las funciones que este no puede realizar por sí mismo, por motivos de imposibilidad material de estar en cada puerto al cual arribe un buque bajo su administración. A esta función que desempeña el agente naviero se le denomina “Agenciamiento” donde existe una relación entre el agente y el principal para resolver, en su nombre, ciertos actos que afectan los derechos del principal y tareas que el mismo, delegue en el agente para que éste las lleve a cabo ante terceros involucrados.</w:t>
      </w:r>
    </w:p>
  </w:footnote>
  <w:footnote w:id="114">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Es un puerto ubicado en el litoral Pacífico de Guatemala. La Empresa Portuaria Quetzal es la institución responsable y administración del puerto. Su estratégica ubicación geográfica le permite prestar servicios principalmente, a la Cuenca del Pacífico y Costa Oeste del Continente Americano, y por su cercanía con el Canal de Panamá, se conecta con el resto del mundo. Cuenta con infraestructura moderna, maquinaria, equipo e instalaciones especializadas, para ofrecer servicios portuarios completos, competitivos costos de operación, extensa área para desarrollo comercial e industrial y acceso a la riqueza turística del país</w:t>
      </w:r>
    </w:p>
  </w:footnote>
  <w:footnote w:id="115">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Resulta interesante hacer notar que el Golfo de Fonseca es un entrante protegido del Océano Pacífico, al oeste de Centroamérica, que limita al noroeste por El Salvador, al noreste y al este por Honduras, y al sur por Nicaragua. Uno de los mejores puertos naturales del mundo, cubre una extensión de unos 3.200 km².</w:t>
      </w:r>
    </w:p>
  </w:footnote>
  <w:footnote w:id="116">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GOMEZ, Esteban. </w:t>
      </w:r>
      <w:r>
        <w:rPr>
          <w:rFonts w:ascii="Arial" w:hAnsi="Arial" w:cs="Arial"/>
          <w:i/>
          <w:sz w:val="18"/>
          <w:szCs w:val="18"/>
        </w:rPr>
        <w:t>Apuntes sobre el descubrimiento y la colonización del Golfo de Fonseca durante los Siglos XVI y XVII: La arqueología e historia de Conchagua Vieja (54-A2), Departamento de La Unión, El Salvador</w:t>
      </w:r>
      <w:r>
        <w:rPr>
          <w:rFonts w:ascii="Arial" w:hAnsi="Arial" w:cs="Arial"/>
          <w:sz w:val="18"/>
          <w:szCs w:val="18"/>
        </w:rPr>
        <w:t xml:space="preserve"> , Universidad de Berkeley, Estados Unidos, 2000, p. 157.</w:t>
      </w:r>
    </w:p>
  </w:footnote>
  <w:footnote w:id="117">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tomada de sitio web: http://www.puertolaunion.gob.sv/index.php?articulo=1021</w:t>
      </w:r>
    </w:p>
  </w:footnote>
  <w:footnote w:id="118">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AMP. </w:t>
      </w:r>
      <w:r>
        <w:rPr>
          <w:rFonts w:ascii="Arial" w:hAnsi="Arial" w:cs="Arial"/>
          <w:i/>
          <w:sz w:val="18"/>
          <w:szCs w:val="18"/>
        </w:rPr>
        <w:t xml:space="preserve">Propuesta de Política Marítimo Portuaria, </w:t>
      </w:r>
      <w:r>
        <w:rPr>
          <w:rFonts w:ascii="Arial" w:hAnsi="Arial" w:cs="Arial"/>
          <w:sz w:val="18"/>
          <w:szCs w:val="18"/>
        </w:rPr>
        <w:t>El Salvador, 2008, p. 3.</w:t>
      </w:r>
    </w:p>
  </w:footnote>
  <w:footnote w:id="119">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ROZAS, Patricio y SANCHEZ, Ricardo. </w:t>
      </w:r>
      <w:r>
        <w:rPr>
          <w:rFonts w:ascii="Arial" w:hAnsi="Arial" w:cs="Arial"/>
          <w:i/>
          <w:sz w:val="18"/>
          <w:szCs w:val="18"/>
        </w:rPr>
        <w:t>Desarrollo de infraestructura y crecimiento económico: revisión conceptual</w:t>
      </w:r>
      <w:r>
        <w:rPr>
          <w:rFonts w:ascii="Arial" w:hAnsi="Arial" w:cs="Arial"/>
          <w:sz w:val="18"/>
          <w:szCs w:val="18"/>
        </w:rPr>
        <w:t>, CEPAL, Serie Recursos Naturales e Infraestructura Nº 75, Santiago de Chile, 2004, P. 12.</w:t>
      </w:r>
    </w:p>
  </w:footnote>
  <w:footnote w:id="120">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Organismo internacional creado por los Estados de las repúblicas de El Salvador, Honduras, Nicaragua, Guatemala, Costa Rica y Panamá. Establecido como marco institucional de la integración de los países centroamericanos. Formalmente, el SICA entró en funcionamiento el 1° de febrero de 1993.</w:t>
      </w:r>
    </w:p>
  </w:footnote>
  <w:footnote w:id="121">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Organismo especializado que forma parte de la institucionalidad del Sistema de la Integración Centroamericana (SICA), con carácter permanente, Directorio propio y sede en la ciudad de Managua, Nicaragua. Creada el 15 de julio de 1980, mediante Resolución 5-80 de la Reunión de los Ministros Responsables de la Integración Económica Centroamericana (ROMRIECA XXIII), emitida en la ciudad de Managua, Nicaragua.</w:t>
      </w:r>
    </w:p>
  </w:footnote>
  <w:footnote w:id="122">
    <w:p w:rsidR="00AC7D7B" w:rsidRDefault="00AC7D7B" w:rsidP="00232C32">
      <w:pPr>
        <w:pStyle w:val="Textonotapie"/>
        <w:jc w:val="both"/>
      </w:pPr>
      <w:r>
        <w:rPr>
          <w:rStyle w:val="Refdenotaalpie"/>
        </w:rPr>
        <w:sym w:font="Symbol" w:char="F02A"/>
      </w:r>
      <w:r>
        <w:rPr>
          <w:rStyle w:val="Refdenotaalpie"/>
        </w:rPr>
        <w:sym w:font="Symbol" w:char="F02A"/>
      </w:r>
      <w:r>
        <w:rPr>
          <w:rStyle w:val="Refdenotaalpie"/>
        </w:rPr>
        <w:sym w:font="Symbol" w:char="F02A"/>
      </w:r>
      <w:r>
        <w:rPr>
          <w:rFonts w:ascii="Arial" w:hAnsi="Arial" w:cs="Arial"/>
        </w:rPr>
        <w:t xml:space="preserve"> </w:t>
      </w:r>
      <w:r>
        <w:rPr>
          <w:rFonts w:ascii="Arial" w:hAnsi="Arial" w:cs="Arial"/>
          <w:sz w:val="18"/>
          <w:szCs w:val="18"/>
        </w:rPr>
        <w:t>Mediante Resolución de la XVI Reunión celebrada en San Salvador, El Salvador, se constituyó en Consejo Sectorial de los Ministros de Transporte de Centroamérica (COMITRAN), de conformidad a la organización institucional prevista en el Protocolo de Tegucigalpa, incorporándose a COCATRAM dentro de la nueva estructura institucional de dicho Consejo, con el objeto de fortalecer la coordinación regional del sector marítimo portuario.</w:t>
      </w:r>
    </w:p>
  </w:footnote>
  <w:footnote w:id="123">
    <w:p w:rsidR="00AC7D7B" w:rsidRDefault="00AC7D7B" w:rsidP="00232C32">
      <w:pPr>
        <w:pStyle w:val="Textonotapie"/>
      </w:pPr>
      <w:r>
        <w:rPr>
          <w:rStyle w:val="Refdenotaalpie"/>
        </w:rPr>
        <w:footnoteRef/>
      </w:r>
      <w:r>
        <w:t xml:space="preserve"> </w:t>
      </w:r>
      <w:r>
        <w:rPr>
          <w:rFonts w:ascii="Arial" w:hAnsi="Arial" w:cs="Arial"/>
          <w:i/>
          <w:sz w:val="18"/>
          <w:szCs w:val="18"/>
          <w:lang w:val="es-SV"/>
        </w:rPr>
        <w:t xml:space="preserve">Ibídem., </w:t>
      </w:r>
      <w:r>
        <w:rPr>
          <w:rFonts w:ascii="Arial" w:hAnsi="Arial" w:cs="Arial"/>
          <w:sz w:val="18"/>
          <w:szCs w:val="18"/>
          <w:lang w:val="es-SV"/>
        </w:rPr>
        <w:t>p.12.</w:t>
      </w:r>
    </w:p>
  </w:footnote>
  <w:footnote w:id="124">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Las siglas TEU (acrónimo del término en inglés Twenty-foot Equivalent Unit) representa la unidad de medida de capacidad del transporte marítimo en contenedores. Una TEU es la capacidad de carga de un contenedor normalizado de 20 pies. Las dimensiones exteriores del contenedor normalizado de 20 pies son: 20 pies de largo x 8 pies de ancho x 8,5 pies de altura; equivalentes a 6,096 metros de largo x 2,438 metros de ancho x 2,591 metros de alto. Su volumen exterior es de 1,360 pies cúbicos equivalentes a 38,51 metros cúbicos. Su capacidad es de 1165,4 pies cúbicos equivalentes a 33 metros cúbicos. El peso máximo del contenedor es 24,000 kg aproximadamente, pero restando la tara (o peso en vacío), la carga en su interior puede llegar a pesar 21,600 kg.</w:t>
      </w:r>
    </w:p>
  </w:footnote>
  <w:footnote w:id="125">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COCATRAM. </w:t>
      </w:r>
      <w:r>
        <w:rPr>
          <w:rFonts w:ascii="Arial" w:hAnsi="Arial" w:cs="Arial"/>
          <w:i/>
          <w:sz w:val="18"/>
          <w:szCs w:val="18"/>
        </w:rPr>
        <w:t xml:space="preserve">Manual de Puertos de Centroamérica, </w:t>
      </w:r>
      <w:r>
        <w:rPr>
          <w:rFonts w:ascii="Arial" w:hAnsi="Arial" w:cs="Arial"/>
          <w:sz w:val="18"/>
          <w:szCs w:val="18"/>
        </w:rPr>
        <w:t>publicaciones Landmarine, 2010, p.41.</w:t>
      </w:r>
    </w:p>
  </w:footnote>
  <w:footnote w:id="126">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COCATRAM. </w:t>
      </w:r>
      <w:r>
        <w:rPr>
          <w:rFonts w:ascii="Arial" w:hAnsi="Arial" w:cs="Arial"/>
          <w:i/>
          <w:sz w:val="18"/>
          <w:szCs w:val="18"/>
        </w:rPr>
        <w:t>Estrategia Marítima Portuaria Regional Centroamericana,</w:t>
      </w:r>
      <w:r>
        <w:rPr>
          <w:rFonts w:ascii="Arial" w:hAnsi="Arial" w:cs="Arial"/>
          <w:sz w:val="18"/>
          <w:szCs w:val="18"/>
        </w:rPr>
        <w:t xml:space="preserve"> publicaciones SICA, 2009, p. 7.</w:t>
      </w:r>
    </w:p>
  </w:footnote>
  <w:footnote w:id="127">
    <w:p w:rsidR="00AC7D7B" w:rsidRDefault="00AC7D7B" w:rsidP="00232C32">
      <w:pPr>
        <w:pStyle w:val="Textonotapie"/>
        <w:jc w:val="both"/>
      </w:pPr>
      <w:r w:rsidRPr="005D430C">
        <w:rPr>
          <w:rStyle w:val="Refdenotaalpie"/>
        </w:rPr>
        <w:sym w:font="Symbol" w:char="F02A"/>
      </w:r>
      <w:r w:rsidRPr="005D430C">
        <w:rPr>
          <w:rStyle w:val="Refdenotaalpie"/>
        </w:rPr>
        <w:sym w:font="Symbol" w:char="F02A"/>
      </w:r>
      <w:r>
        <w:t xml:space="preserve"> </w:t>
      </w:r>
      <w:r>
        <w:rPr>
          <w:rFonts w:ascii="Arial" w:hAnsi="Arial" w:cs="Arial"/>
          <w:sz w:val="18"/>
          <w:szCs w:val="18"/>
        </w:rPr>
        <w:t>Especialista en Comercio y la Integración en América del Banco Interamericano de Desarrollo, realizó sus estudios en la Universidad de Georgetown Center Law, Estados Unidos.</w:t>
      </w:r>
    </w:p>
  </w:footnote>
  <w:footnote w:id="128">
    <w:p w:rsidR="00AC7D7B" w:rsidRDefault="00AC7D7B" w:rsidP="00232C32">
      <w:pPr>
        <w:pStyle w:val="Textonotapie"/>
        <w:jc w:val="both"/>
      </w:pPr>
      <w:r w:rsidRPr="005D430C">
        <w:rPr>
          <w:rStyle w:val="Refdenotaalpie"/>
        </w:rPr>
        <w:sym w:font="Symbol" w:char="F02A"/>
      </w:r>
      <w:r>
        <w:t xml:space="preserve"> </w:t>
      </w:r>
      <w:r>
        <w:rPr>
          <w:rFonts w:ascii="Arial" w:hAnsi="Arial" w:cs="Arial"/>
          <w:sz w:val="18"/>
          <w:szCs w:val="18"/>
        </w:rPr>
        <w:t>Las instituciones a las cuales Mario Umaña se refiere son: Instituciones como CEPAL, SIECA, GTZ, IRF, JAICA, AID, COCATRAM, BCIE, BID, Banco Mundial.</w:t>
      </w:r>
    </w:p>
  </w:footnote>
  <w:footnote w:id="129">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UMAÑA, Mario. </w:t>
      </w:r>
      <w:r>
        <w:rPr>
          <w:rFonts w:ascii="Arial" w:hAnsi="Arial" w:cs="Arial"/>
          <w:bCs/>
          <w:i/>
          <w:sz w:val="18"/>
          <w:szCs w:val="18"/>
        </w:rPr>
        <w:t xml:space="preserve">Infraestructura Avanzada de Transportes para el Desarrollo Sostenible y la Integración de Centroamérica, </w:t>
      </w:r>
      <w:r>
        <w:rPr>
          <w:rFonts w:ascii="Arial" w:hAnsi="Arial" w:cs="Arial"/>
          <w:bCs/>
          <w:sz w:val="18"/>
          <w:szCs w:val="18"/>
        </w:rPr>
        <w:t>CEN, 1999, pp.10-13.</w:t>
      </w:r>
    </w:p>
  </w:footnote>
  <w:footnote w:id="130">
    <w:p w:rsidR="00AC7D7B" w:rsidRDefault="00AC7D7B" w:rsidP="00232C32">
      <w:pPr>
        <w:pStyle w:val="Textonotapie"/>
        <w:jc w:val="both"/>
      </w:pPr>
      <w:r w:rsidRPr="005D430C">
        <w:rPr>
          <w:rStyle w:val="Refdenotaalpie"/>
        </w:rPr>
        <w:sym w:font="Symbol" w:char="F02A"/>
      </w:r>
      <w:r w:rsidRPr="005D430C">
        <w:rPr>
          <w:rStyle w:val="Refdenotaalpie"/>
        </w:rPr>
        <w:sym w:font="Symbol" w:char="F02A"/>
      </w:r>
      <w:r>
        <w:t xml:space="preserve"> </w:t>
      </w:r>
      <w:r>
        <w:rPr>
          <w:rFonts w:ascii="Arial" w:hAnsi="Arial" w:cs="Arial"/>
          <w:sz w:val="18"/>
          <w:szCs w:val="18"/>
        </w:rPr>
        <w:t>Japanese Internacional Cooparation Agency, por sus siglas en ingles, principal organismo ejecutor de la Cooperación Técnica del Japón se estableció por ley en el año 1974. Cuenta actualmente con 90 oficinas en el extranjero, y asiste a más de 100 países alrededor del mundo, orientada para la construcción de sistemas, al fortalecimiento de organizaciones y al desarrollo de recursos humanos. Estos datos han sido obtenidos de la pagina web de la Asociación Uruguayo Japonesa de Cooperación Técnica.</w:t>
      </w:r>
    </w:p>
  </w:footnote>
  <w:footnote w:id="131">
    <w:p w:rsidR="00AC7D7B" w:rsidRDefault="00AC7D7B" w:rsidP="00232C32">
      <w:pPr>
        <w:pStyle w:val="Textonotapie"/>
        <w:jc w:val="both"/>
      </w:pPr>
      <w:r w:rsidRPr="005D430C">
        <w:rPr>
          <w:rStyle w:val="Refdenotaalpie"/>
        </w:rPr>
        <w:sym w:font="Symbol" w:char="F02A"/>
      </w:r>
      <w:r>
        <w:rPr>
          <w:rFonts w:ascii="Arial" w:hAnsi="Arial" w:cs="Arial"/>
          <w:sz w:val="18"/>
          <w:szCs w:val="18"/>
        </w:rPr>
        <w:t xml:space="preserve"> Jan De Nul Group, empresa  belga, la cual presta servicios relacionados con la construcción y el mantenimiento de la infraestructura marítima a escala internacional. A su vez,  Toa Corporation que desde1908 ha participado en el dragado y recuperación del suelo para la construcción de puertos y sus instalaciones conexas, el diseño y ejecución de los edificios de la costa, la construcción de aeropuertos, instalaciones marítimas de ocio, almacenes de distribución, fábricas y centrales eléctricas.</w:t>
      </w:r>
    </w:p>
  </w:footnote>
  <w:footnote w:id="132">
    <w:p w:rsidR="00AC7D7B" w:rsidRDefault="00AC7D7B" w:rsidP="00232C32">
      <w:pPr>
        <w:pStyle w:val="Textonotapie"/>
        <w:jc w:val="both"/>
      </w:pPr>
      <w:r w:rsidRPr="005D430C">
        <w:rPr>
          <w:rStyle w:val="Refdenotaalpie"/>
        </w:rPr>
        <w:sym w:font="Symbol" w:char="F02A"/>
      </w:r>
      <w:r w:rsidRPr="005D430C">
        <w:rPr>
          <w:rStyle w:val="Refdenotaalpie"/>
        </w:rPr>
        <w:sym w:font="Symbol" w:char="F02A"/>
      </w:r>
      <w:r>
        <w:rPr>
          <w:rFonts w:ascii="Arial" w:hAnsi="Arial" w:cs="Arial"/>
          <w:sz w:val="18"/>
          <w:szCs w:val="18"/>
        </w:rPr>
        <w:t xml:space="preserve"> Penta Ocean, empresa japonesa de construcción especializada en obras marítimas y la recuperación de tierras, está involucrado en numerosos proyectos en Japón y el extranjero aeropuertos, puertos. Las demás operaciones incluyen la venta de materiales y maquinaria de obra, arrendamiento y construcción naval. Hazama es otra empresa japonesa cuyos rubros tienen similares formaron consorcio.</w:t>
      </w:r>
    </w:p>
  </w:footnote>
  <w:footnote w:id="133">
    <w:p w:rsidR="00AC7D7B" w:rsidRDefault="00AC7D7B" w:rsidP="00232C32">
      <w:pPr>
        <w:pStyle w:val="Textonotapie"/>
      </w:pPr>
      <w:r>
        <w:rPr>
          <w:rStyle w:val="Refdenotaalpie"/>
        </w:rPr>
        <w:footnoteRef/>
      </w:r>
      <w:r>
        <w:t xml:space="preserve"> </w:t>
      </w:r>
      <w:r>
        <w:rPr>
          <w:rFonts w:ascii="Arial" w:hAnsi="Arial" w:cs="Arial"/>
          <w:sz w:val="18"/>
          <w:szCs w:val="18"/>
        </w:rPr>
        <w:t>Información tomada de la página oficial de la Comisión Ejecutiva Portuaria Autónoma: http://www.cepa.gob.sv</w:t>
      </w:r>
    </w:p>
  </w:footnote>
  <w:footnote w:id="134">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La grúa RTG (Rubber Tyred Gantry) es un componente imprescindible para una explotación rentable de las terminales de contenedores. Se trata de un elemento seguro, eficiente, robusto y preciso. Su sencillo manejo y la disminución en los tiempos de apilamiento hace de estas grúas un elemento esencial en terminales que pretendan competir por mantenerse en la vanguardia de las nuevas tecnologías. Se trata de una grúa pórtico móvil sobre neumáticos de caucho que se desplaza a través de pistas de rodadura.</w:t>
      </w:r>
    </w:p>
  </w:footnote>
  <w:footnote w:id="135">
    <w:p w:rsidR="00AC7D7B" w:rsidRDefault="00AC7D7B" w:rsidP="00232C32">
      <w:pPr>
        <w:pStyle w:val="Textonotapie"/>
        <w:jc w:val="both"/>
      </w:pPr>
      <w:r w:rsidRPr="005D430C">
        <w:rPr>
          <w:rStyle w:val="Refdenotaalpie"/>
        </w:rPr>
        <w:sym w:font="Symbol" w:char="F02A"/>
      </w:r>
      <w:r w:rsidRPr="005D430C">
        <w:rPr>
          <w:rStyle w:val="Refdenotaalpie"/>
        </w:rPr>
        <w:sym w:font="Symbol" w:char="F02A"/>
      </w:r>
      <w:r>
        <w:t xml:space="preserve"> </w:t>
      </w:r>
      <w:r>
        <w:rPr>
          <w:rFonts w:ascii="Arial" w:hAnsi="Arial" w:cs="Arial"/>
          <w:sz w:val="18"/>
          <w:szCs w:val="18"/>
        </w:rPr>
        <w:t>Representación a escala de aguas navegables y regiones terrestres adjuntas. Normalmente indica las profundidades del agua y las alturas del terreno, naturaleza del fondo, detalles de la costa incluyendo puertos, peligros a la navegación, localización de luces y otras ayudas a la navegación. Las cartas de navegación son instrumentos esenciales para la navegación náutica.</w:t>
      </w:r>
    </w:p>
  </w:footnote>
  <w:footnote w:id="136">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tomada del sitio web: http://www.puertolaunion.gob.sv/index.php?articulo=1021</w:t>
      </w:r>
    </w:p>
  </w:footnote>
  <w:footnote w:id="137">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CIP, </w:t>
      </w:r>
      <w:r>
        <w:rPr>
          <w:rFonts w:ascii="Arial" w:hAnsi="Arial" w:cs="Arial"/>
          <w:i/>
          <w:sz w:val="18"/>
          <w:szCs w:val="18"/>
        </w:rPr>
        <w:t>Boletín Interamericano de Puertos,</w:t>
      </w:r>
      <w:r>
        <w:rPr>
          <w:rFonts w:ascii="Arial" w:hAnsi="Arial" w:cs="Arial"/>
          <w:sz w:val="18"/>
          <w:szCs w:val="18"/>
        </w:rPr>
        <w:t xml:space="preserve"> N° 19, 2008, p. 5.</w:t>
      </w:r>
    </w:p>
  </w:footnote>
  <w:footnote w:id="138">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CIP, </w:t>
      </w:r>
      <w:r>
        <w:rPr>
          <w:rFonts w:ascii="Arial" w:hAnsi="Arial" w:cs="Arial"/>
          <w:i/>
          <w:sz w:val="18"/>
          <w:szCs w:val="18"/>
        </w:rPr>
        <w:t>Boletín Interamericano de Puertos</w:t>
      </w:r>
      <w:r>
        <w:rPr>
          <w:rFonts w:ascii="Arial" w:hAnsi="Arial" w:cs="Arial"/>
          <w:sz w:val="18"/>
          <w:szCs w:val="18"/>
        </w:rPr>
        <w:t>, N° 29, 2010, p. 5.</w:t>
      </w:r>
    </w:p>
  </w:footnote>
  <w:footnote w:id="139">
    <w:p w:rsidR="00AC7D7B" w:rsidRDefault="00AC7D7B" w:rsidP="00232C32">
      <w:pPr>
        <w:pStyle w:val="Textonotapie"/>
      </w:pPr>
      <w:r w:rsidRPr="005D430C">
        <w:rPr>
          <w:rStyle w:val="Refdenotaalpie"/>
        </w:rPr>
        <w:sym w:font="Symbol" w:char="F02A"/>
      </w:r>
      <w:r>
        <w:t xml:space="preserve"> </w:t>
      </w:r>
      <w:r>
        <w:rPr>
          <w:rFonts w:ascii="Arial" w:hAnsi="Arial" w:cs="Arial"/>
          <w:sz w:val="18"/>
          <w:szCs w:val="18"/>
        </w:rPr>
        <w:t>Desde sus inicios ha trabajado en la industria marítima y tal como el mismo lo manifiesta pareciera que durante 38 años estuvo “becado” para especializarse en la industria marítima para operar el Nuevo Puerto de La Unión. Durante mucho tiempo trabajó en los puertos de Long Beach, Hong Kong, Alemania, Nueva York y Oakland.</w:t>
      </w:r>
    </w:p>
  </w:footnote>
  <w:footnote w:id="140">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tomada de sitio web: www.</w:t>
      </w:r>
      <w:r>
        <w:rPr>
          <w:rFonts w:ascii="Arial" w:hAnsi="Arial" w:cs="Arial"/>
          <w:bCs/>
          <w:sz w:val="18"/>
          <w:szCs w:val="18"/>
        </w:rPr>
        <w:t>puerto</w:t>
      </w:r>
      <w:r>
        <w:rPr>
          <w:rFonts w:ascii="Arial" w:hAnsi="Arial" w:cs="Arial"/>
          <w:sz w:val="18"/>
          <w:szCs w:val="18"/>
        </w:rPr>
        <w:t>la</w:t>
      </w:r>
      <w:r>
        <w:rPr>
          <w:rFonts w:ascii="Arial" w:hAnsi="Arial" w:cs="Arial"/>
          <w:bCs/>
          <w:sz w:val="18"/>
          <w:szCs w:val="18"/>
        </w:rPr>
        <w:t>union</w:t>
      </w:r>
      <w:r>
        <w:rPr>
          <w:rFonts w:ascii="Arial" w:hAnsi="Arial" w:cs="Arial"/>
          <w:sz w:val="18"/>
          <w:szCs w:val="18"/>
        </w:rPr>
        <w:t>.gob.sv/noticias.php?articulo=1188</w:t>
      </w:r>
    </w:p>
  </w:footnote>
  <w:footnote w:id="141">
    <w:p w:rsidR="00AC7D7B" w:rsidRDefault="00AC7D7B" w:rsidP="00232C32">
      <w:pPr>
        <w:pStyle w:val="Textonotapie"/>
        <w:jc w:val="both"/>
      </w:pPr>
      <w:r>
        <w:rPr>
          <w:rStyle w:val="Refdenotaalpie"/>
        </w:rPr>
        <w:footnoteRef/>
      </w:r>
      <w:r>
        <w:rPr>
          <w:lang w:val="en-US"/>
        </w:rPr>
        <w:t xml:space="preserve"> </w:t>
      </w:r>
      <w:r>
        <w:rPr>
          <w:rFonts w:ascii="Arial" w:hAnsi="Arial" w:cs="Arial"/>
          <w:sz w:val="18"/>
          <w:szCs w:val="18"/>
          <w:lang w:val="en-US"/>
        </w:rPr>
        <w:t xml:space="preserve">BATISTA Da SILVA, Eliezer. </w:t>
      </w:r>
      <w:r>
        <w:rPr>
          <w:rFonts w:ascii="Arial" w:hAnsi="Arial" w:cs="Arial"/>
          <w:i/>
          <w:sz w:val="18"/>
          <w:szCs w:val="18"/>
          <w:lang w:val="en-US"/>
        </w:rPr>
        <w:t xml:space="preserve">Infrastructure for Sustainable Development and Integration of South America. A report to Business Council for Sustainable Development, </w:t>
      </w:r>
      <w:r>
        <w:rPr>
          <w:rFonts w:ascii="Arial" w:hAnsi="Arial" w:cs="Arial"/>
          <w:sz w:val="18"/>
          <w:szCs w:val="18"/>
          <w:lang w:val="en-US"/>
        </w:rPr>
        <w:t>Corporación Andina de Fomento (CAF), Compañía</w:t>
      </w:r>
      <w:r>
        <w:rPr>
          <w:rFonts w:ascii="Arial" w:hAnsi="Arial" w:cs="Arial"/>
          <w:i/>
          <w:sz w:val="18"/>
          <w:szCs w:val="18"/>
          <w:lang w:val="en-US"/>
        </w:rPr>
        <w:t xml:space="preserve"> </w:t>
      </w:r>
      <w:r>
        <w:rPr>
          <w:rFonts w:ascii="Arial" w:hAnsi="Arial" w:cs="Arial"/>
          <w:sz w:val="18"/>
          <w:szCs w:val="18"/>
          <w:lang w:val="en-US"/>
        </w:rPr>
        <w:t>Vale do Rio Doce, Bank of America, Compañía Auxiliar de Empresas de Mineracao, 1996, p.12.</w:t>
      </w:r>
    </w:p>
  </w:footnote>
  <w:footnote w:id="142">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tomada de sitio web: http://www.laprensagrafica.com/economia/nacional/127012-puerto-de-la-union-a-la-caza-deusuarios.html</w:t>
      </w:r>
    </w:p>
  </w:footnote>
  <w:footnote w:id="143">
    <w:p w:rsidR="00AC7D7B" w:rsidRDefault="00AC7D7B" w:rsidP="00232C32">
      <w:pPr>
        <w:pStyle w:val="Textonotapie"/>
      </w:pPr>
      <w:r>
        <w:rPr>
          <w:rStyle w:val="Refdenotaalpie"/>
        </w:rPr>
        <w:sym w:font="Symbol" w:char="F02A"/>
      </w:r>
      <w:r>
        <w:t xml:space="preserve"> </w:t>
      </w:r>
      <w:r>
        <w:rPr>
          <w:rFonts w:ascii="Arial" w:hAnsi="Arial" w:cs="Arial"/>
          <w:sz w:val="18"/>
          <w:szCs w:val="18"/>
        </w:rPr>
        <w:t>Carlos Mauricio Funes Cartagena, ex periodista  y político  salvadoreño. Es Presidente de El Salvador luego de superar las elecciones del 15 de marzo de 2009.</w:t>
      </w:r>
    </w:p>
  </w:footnote>
  <w:footnote w:id="144">
    <w:p w:rsidR="00AC7D7B" w:rsidRDefault="00AC7D7B" w:rsidP="00232C32">
      <w:pPr>
        <w:pStyle w:val="Textonotapie"/>
        <w:jc w:val="both"/>
      </w:pPr>
      <w:r>
        <w:rPr>
          <w:rStyle w:val="Smbolodenotaalpie"/>
          <w:rFonts w:ascii="Arial" w:hAnsi="Arial"/>
        </w:rPr>
        <w:footnoteRef/>
      </w:r>
      <w:r>
        <w:rPr>
          <w:rFonts w:ascii="Arial" w:hAnsi="Arial" w:cs="Arial"/>
          <w:sz w:val="18"/>
          <w:szCs w:val="18"/>
        </w:rPr>
        <w:t xml:space="preserve"> Información tomada de sitio web: http://www.laprensagrafica.com/economia/nacional/127012-puerto-de-la-union-a-la-caza-deusuarios.html</w:t>
      </w:r>
    </w:p>
  </w:footnote>
  <w:footnote w:id="145">
    <w:p w:rsidR="00AC7D7B" w:rsidRDefault="00AC7D7B" w:rsidP="00232C32">
      <w:pPr>
        <w:pStyle w:val="Textonotapie"/>
        <w:jc w:val="both"/>
      </w:pPr>
      <w:r w:rsidRPr="005D430C">
        <w:rPr>
          <w:rStyle w:val="Refdenotaalpie"/>
        </w:rPr>
        <w:sym w:font="Symbol" w:char="F02A"/>
      </w:r>
      <w:r w:rsidRPr="005D430C">
        <w:rPr>
          <w:rStyle w:val="Refdenotaalpie"/>
        </w:rPr>
        <w:sym w:font="Symbol" w:char="F02A"/>
      </w:r>
      <w:r>
        <w:t xml:space="preserve"> </w:t>
      </w:r>
      <w:r>
        <w:rPr>
          <w:rFonts w:ascii="Arial" w:hAnsi="Arial" w:cs="Arial"/>
          <w:sz w:val="18"/>
          <w:szCs w:val="18"/>
        </w:rPr>
        <w:t>Establecido oficialmente en 1897, es la organización internacional más antigua en el ámbito marítimo. Aunque su fundación siguió a la de la International Law Association (ILA) por varios años, y el Comité Marítimo Internacional fue tal vez en un sentido, un descendiente de la International Law Association, el Comité fue la primera organización internacional que se ocupen exclusivamente con el derecho marítimo y las prácticas comerciales.</w:t>
      </w:r>
    </w:p>
  </w:footnote>
  <w:footnote w:id="146">
    <w:p w:rsidR="00AC7D7B" w:rsidRDefault="00AC7D7B" w:rsidP="00232C32">
      <w:pPr>
        <w:pStyle w:val="Textonotapie"/>
        <w:jc w:val="both"/>
      </w:pPr>
      <w:r w:rsidRPr="005D430C">
        <w:rPr>
          <w:rStyle w:val="Refdenotaalpie"/>
        </w:rPr>
        <w:sym w:font="Symbol" w:char="F02A"/>
      </w:r>
      <w:r>
        <w:t xml:space="preserve"> </w:t>
      </w:r>
      <w:r>
        <w:rPr>
          <w:rFonts w:ascii="Arial" w:hAnsi="Arial" w:cs="Arial"/>
          <w:sz w:val="18"/>
          <w:szCs w:val="18"/>
        </w:rPr>
        <w:t>En 1968 el Comité Marítimo Internacional redactó un protocolo conocido cómo Reglas de la Haya-Visby respectivas al Derecho Marítimo Internacional, que regulaban la navegación del transporte marítimo.  Posteriormente, en 1978, se redactó el Convenio de las Naciones Unidas sobre Transporte Marítimo de mercancías conocido cómo Reglas de Hamburgo</w:t>
      </w:r>
    </w:p>
  </w:footnote>
  <w:footnote w:id="147">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GABALDÓN GARCIA, José Luís; RUÍZ SOROA, José María. </w:t>
      </w:r>
      <w:r>
        <w:rPr>
          <w:rFonts w:ascii="Arial" w:hAnsi="Arial" w:cs="Arial"/>
          <w:i/>
          <w:sz w:val="18"/>
          <w:szCs w:val="18"/>
        </w:rPr>
        <w:t>Manual de Derecho de la Navegación Marítima</w:t>
      </w:r>
      <w:r>
        <w:rPr>
          <w:rFonts w:ascii="Arial" w:hAnsi="Arial" w:cs="Arial"/>
          <w:sz w:val="18"/>
          <w:szCs w:val="18"/>
        </w:rPr>
        <w:t>, Tercera Edición, Marcial Pons, Madrid, España 2006, p. 37.</w:t>
      </w:r>
    </w:p>
  </w:footnote>
  <w:footnote w:id="148">
    <w:p w:rsidR="00AC7D7B" w:rsidRDefault="00AC7D7B" w:rsidP="00232C32">
      <w:pPr>
        <w:pStyle w:val="Textonotapie"/>
        <w:jc w:val="both"/>
        <w:rPr>
          <w:rFonts w:ascii="Arial" w:hAnsi="Arial" w:cs="Arial"/>
          <w:sz w:val="18"/>
          <w:szCs w:val="18"/>
        </w:rPr>
      </w:pPr>
      <w:r w:rsidRPr="005D430C">
        <w:rPr>
          <w:rStyle w:val="Refdenotaalpie"/>
        </w:rPr>
        <w:sym w:font="Symbol" w:char="F02A"/>
      </w:r>
      <w:r w:rsidRPr="005D430C">
        <w:rPr>
          <w:rStyle w:val="Refdenotaalpie"/>
        </w:rPr>
        <w:sym w:font="Symbol" w:char="F02A"/>
      </w:r>
      <w:r>
        <w:t xml:space="preserve"> </w:t>
      </w:r>
      <w:r>
        <w:rPr>
          <w:rFonts w:ascii="Arial" w:hAnsi="Arial" w:cs="Arial"/>
          <w:sz w:val="18"/>
          <w:szCs w:val="18"/>
        </w:rPr>
        <w:t>Organismo especializado de las Naciones Unidas que se encarga de medidas para mejorar la seguridad y la protección del transporte marítimo internacional y prevenir la contaminación marina procedente de buques</w:t>
      </w:r>
      <w:r>
        <w:rPr>
          <w:rFonts w:ascii="Arial" w:hAnsi="Arial" w:cs="Arial"/>
          <w:sz w:val="18"/>
          <w:szCs w:val="18"/>
          <w:lang w:val="es-MX"/>
        </w:rPr>
        <w:t xml:space="preserve">. </w:t>
      </w:r>
      <w:r>
        <w:rPr>
          <w:rFonts w:ascii="Arial" w:hAnsi="Arial" w:cs="Arial"/>
          <w:sz w:val="18"/>
          <w:szCs w:val="18"/>
        </w:rPr>
        <w:t>También está involucrado en asuntos legales, incluyendo la responsabilidad y la indemnización y la facilitación del tráfico marítimo internacional</w:t>
      </w:r>
      <w:r>
        <w:rPr>
          <w:rFonts w:ascii="Arial" w:hAnsi="Arial" w:cs="Arial"/>
          <w:sz w:val="18"/>
          <w:szCs w:val="18"/>
          <w:lang w:val="es-MX"/>
        </w:rPr>
        <w:t xml:space="preserve">. </w:t>
      </w:r>
      <w:r>
        <w:rPr>
          <w:rFonts w:ascii="Arial" w:hAnsi="Arial" w:cs="Arial"/>
          <w:sz w:val="18"/>
          <w:szCs w:val="18"/>
        </w:rPr>
        <w:t>Fue establecido por medio de un convenio adoptado bajo los auspicios de las Naciones Unidas en Ginebra el 17 de marzo de 1948.</w:t>
      </w:r>
    </w:p>
    <w:p w:rsidR="00AC7D7B" w:rsidRDefault="00AC7D7B" w:rsidP="00232C32">
      <w:pPr>
        <w:pStyle w:val="Textonotapie"/>
        <w:jc w:val="both"/>
      </w:pPr>
    </w:p>
  </w:footnote>
  <w:footnote w:id="149">
    <w:p w:rsidR="00AC7D7B" w:rsidRDefault="00AC7D7B" w:rsidP="00232C32">
      <w:pPr>
        <w:pStyle w:val="Textonotapie"/>
      </w:pPr>
      <w:r>
        <w:rPr>
          <w:rStyle w:val="Refdenotaalpie"/>
        </w:rPr>
        <w:footnoteRef/>
      </w:r>
      <w:r>
        <w:t xml:space="preserve"> </w:t>
      </w:r>
      <w:r>
        <w:rPr>
          <w:rFonts w:ascii="Arial" w:hAnsi="Arial" w:cs="Arial"/>
          <w:sz w:val="18"/>
          <w:szCs w:val="18"/>
          <w:lang w:val="es-MX"/>
        </w:rPr>
        <w:t>Artículo 1 de la Convención de la OMI.</w:t>
      </w:r>
    </w:p>
  </w:footnote>
  <w:footnote w:id="150">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FUSADES. </w:t>
      </w:r>
      <w:r>
        <w:rPr>
          <w:rFonts w:ascii="Arial" w:hAnsi="Arial" w:cs="Arial"/>
          <w:i/>
          <w:sz w:val="18"/>
          <w:szCs w:val="18"/>
        </w:rPr>
        <w:t>Consideraciones sobre el Derecho Marítimo Salvadoreño,</w:t>
      </w:r>
      <w:r>
        <w:rPr>
          <w:rFonts w:ascii="Arial" w:hAnsi="Arial" w:cs="Arial"/>
          <w:sz w:val="18"/>
          <w:szCs w:val="18"/>
        </w:rPr>
        <w:t xml:space="preserve"> Departamento de Estudios Legales, Boletín número 90, 2008, p. 5.</w:t>
      </w:r>
    </w:p>
  </w:footnote>
  <w:footnote w:id="151">
    <w:p w:rsidR="00AC7D7B" w:rsidRDefault="00AC7D7B" w:rsidP="00232C32">
      <w:pPr>
        <w:pStyle w:val="Textonotapie"/>
      </w:pPr>
      <w:r>
        <w:rPr>
          <w:rStyle w:val="Refdenotaalpie"/>
        </w:rPr>
        <w:footnoteRef/>
      </w:r>
      <w:r>
        <w:t xml:space="preserve"> </w:t>
      </w:r>
      <w:r>
        <w:rPr>
          <w:rFonts w:ascii="Arial" w:hAnsi="Arial" w:cs="Arial"/>
          <w:sz w:val="18"/>
          <w:szCs w:val="18"/>
        </w:rPr>
        <w:t>Decreto Legislativo, No. 994, 19 de septiembre de 2002; Diario Oficial No. 182, Tomo 357, Publicado el 01 de octubre de 2002.</w:t>
      </w:r>
    </w:p>
  </w:footnote>
  <w:footnote w:id="152">
    <w:p w:rsidR="00AC7D7B" w:rsidRDefault="00AC7D7B" w:rsidP="00232C32">
      <w:pPr>
        <w:pStyle w:val="Textonotapie"/>
        <w:jc w:val="both"/>
      </w:pPr>
      <w:r>
        <w:rPr>
          <w:rStyle w:val="Refdenotaalpie"/>
        </w:rPr>
        <w:footnoteRef/>
      </w:r>
      <w:r>
        <w:rPr>
          <w:lang w:val="es-MX"/>
        </w:rPr>
        <w:t xml:space="preserve"> </w:t>
      </w:r>
      <w:r>
        <w:rPr>
          <w:rFonts w:ascii="Arial" w:hAnsi="Arial" w:cs="Arial"/>
          <w:i/>
          <w:sz w:val="18"/>
          <w:szCs w:val="18"/>
          <w:lang w:val="es-MX"/>
        </w:rPr>
        <w:t>Op. cit.,</w:t>
      </w:r>
      <w:r>
        <w:rPr>
          <w:rFonts w:ascii="Arial" w:hAnsi="Arial" w:cs="Arial"/>
          <w:sz w:val="18"/>
          <w:szCs w:val="18"/>
          <w:lang w:val="es-MX"/>
        </w:rPr>
        <w:t xml:space="preserve"> FUSADES, p. 8.</w:t>
      </w:r>
    </w:p>
  </w:footnote>
  <w:footnote w:id="153">
    <w:p w:rsidR="00AC7D7B" w:rsidRPr="00816BCE" w:rsidRDefault="00AC7D7B" w:rsidP="00232C32">
      <w:pPr>
        <w:pStyle w:val="Textonotapie"/>
        <w:jc w:val="both"/>
        <w:rPr>
          <w:rFonts w:ascii="Arial" w:hAnsi="Arial" w:cs="Arial"/>
          <w:sz w:val="18"/>
          <w:szCs w:val="18"/>
          <w:lang w:val="es-ES_tradnl"/>
        </w:rPr>
      </w:pPr>
      <w:r>
        <w:rPr>
          <w:rStyle w:val="Refdenotaalpie"/>
        </w:rPr>
        <w:footnoteRef/>
      </w:r>
      <w:r w:rsidRPr="00816BCE">
        <w:rPr>
          <w:lang w:val="es-ES_tradnl"/>
        </w:rPr>
        <w:t xml:space="preserve"> </w:t>
      </w:r>
      <w:r w:rsidRPr="00816BCE">
        <w:rPr>
          <w:rFonts w:ascii="Arial" w:hAnsi="Arial" w:cs="Arial"/>
          <w:sz w:val="18"/>
          <w:szCs w:val="18"/>
          <w:lang w:val="es-ES_tradnl"/>
        </w:rPr>
        <w:t xml:space="preserve">Informacion tomada de sitio web: </w:t>
      </w:r>
    </w:p>
    <w:p w:rsidR="00AC7D7B" w:rsidRDefault="00AC7D7B" w:rsidP="00232C32">
      <w:pPr>
        <w:pStyle w:val="Textonotapie"/>
        <w:jc w:val="both"/>
      </w:pPr>
      <w:r>
        <w:rPr>
          <w:rFonts w:ascii="Arial" w:hAnsi="Arial" w:cs="Arial"/>
          <w:sz w:val="18"/>
          <w:szCs w:val="18"/>
          <w:lang w:val="en-US"/>
        </w:rPr>
        <w:t>www.amp-elsalvador.org/ index.php?option=com_content&amp;task=view&amp;id=45&amp;Itemid=48</w:t>
      </w:r>
    </w:p>
  </w:footnote>
  <w:footnote w:id="154">
    <w:p w:rsidR="00AC7D7B" w:rsidRDefault="00AC7D7B" w:rsidP="00232C32">
      <w:pPr>
        <w:pStyle w:val="Textonotapie"/>
        <w:jc w:val="both"/>
      </w:pPr>
      <w:r>
        <w:rPr>
          <w:rStyle w:val="Refdenotaalpie"/>
        </w:rPr>
        <w:sym w:font="Symbol" w:char="F02A"/>
      </w:r>
      <w:r>
        <w:t xml:space="preserve"> </w:t>
      </w:r>
      <w:r>
        <w:rPr>
          <w:rFonts w:ascii="Arial" w:hAnsi="Arial" w:cs="Arial"/>
          <w:sz w:val="18"/>
          <w:szCs w:val="18"/>
          <w:lang w:val="es-SV"/>
        </w:rPr>
        <w:t>En el Convenio Arqueo 69, en su artículo 2, inciso 4 y 5 respectivamente, se establecen  las definiciones de arqueo bruto y arqueo neto; entendiéndose a arqueo bruto como  la expresión del tamaño total de un buque, determinada de acuerdo con las disposiciones del presente convenio; y arqueo neto como la expresión de la capacidad utilizable de un buque, determinada de acuerdo con las disposiciones del presente convenio.</w:t>
      </w:r>
    </w:p>
  </w:footnote>
  <w:footnote w:id="155">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Enmiendas al anexo del convenio para facilitar el tráfico marítimo internacional, 1965, en su forma enmendada, aprobadas por la conferencia de gobiernos contratantes el 5 de marzo de 1986.</w:t>
      </w:r>
    </w:p>
  </w:footnote>
  <w:footnote w:id="156">
    <w:p w:rsidR="00AC7D7B" w:rsidRDefault="00AC7D7B" w:rsidP="00232C32">
      <w:pPr>
        <w:pStyle w:val="Textonotapie"/>
      </w:pPr>
      <w:r>
        <w:rPr>
          <w:rStyle w:val="Refdenotaalpie"/>
        </w:rPr>
        <w:footnoteRef/>
      </w:r>
      <w:r>
        <w:t xml:space="preserve"> </w:t>
      </w:r>
      <w:r>
        <w:rPr>
          <w:rFonts w:ascii="Arial" w:hAnsi="Arial" w:cs="Arial"/>
          <w:sz w:val="18"/>
          <w:szCs w:val="18"/>
          <w:lang w:val="es-SV"/>
        </w:rPr>
        <w:t>Convenio Internacional sobre responsabilidad civil por daños causados por contaminación de las aguas del  mar  por hidrocarburos 1969.</w:t>
      </w:r>
    </w:p>
  </w:footnote>
  <w:footnote w:id="157">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ALMARÁ, Silvia María. </w:t>
      </w:r>
      <w:r>
        <w:rPr>
          <w:rFonts w:ascii="Arial" w:hAnsi="Arial" w:cs="Arial"/>
          <w:i/>
          <w:sz w:val="18"/>
          <w:szCs w:val="18"/>
        </w:rPr>
        <w:t xml:space="preserve">El transporte marítimo y la protección del medio marino, </w:t>
      </w:r>
      <w:r>
        <w:rPr>
          <w:rFonts w:ascii="Arial" w:hAnsi="Arial" w:cs="Arial"/>
          <w:sz w:val="18"/>
          <w:szCs w:val="18"/>
        </w:rPr>
        <w:t>2007.</w:t>
      </w:r>
    </w:p>
  </w:footnote>
  <w:footnote w:id="158">
    <w:p w:rsidR="00AC7D7B" w:rsidRDefault="00AC7D7B" w:rsidP="00232C32">
      <w:pPr>
        <w:pStyle w:val="Textonotapie"/>
        <w:jc w:val="both"/>
      </w:pPr>
      <w:r>
        <w:rPr>
          <w:rStyle w:val="Refdenotaalpie"/>
        </w:rPr>
        <w:footnoteRef/>
      </w:r>
      <w:r>
        <w:t xml:space="preserve"> </w:t>
      </w:r>
      <w:r>
        <w:rPr>
          <w:rFonts w:ascii="Arial" w:hAnsi="Arial" w:cs="Arial"/>
          <w:sz w:val="18"/>
          <w:szCs w:val="18"/>
          <w:lang w:val="es-SV"/>
        </w:rPr>
        <w:t xml:space="preserve">MITROPOULOS, Efthimios. </w:t>
      </w:r>
      <w:r>
        <w:rPr>
          <w:rFonts w:ascii="Arial" w:hAnsi="Arial" w:cs="Arial"/>
          <w:i/>
          <w:sz w:val="18"/>
          <w:szCs w:val="18"/>
          <w:lang w:val="es-SV"/>
        </w:rPr>
        <w:t xml:space="preserve">OMI 2004: La protección marítima como objetivo, </w:t>
      </w:r>
      <w:r>
        <w:rPr>
          <w:rFonts w:ascii="Arial" w:hAnsi="Arial" w:cs="Arial"/>
          <w:sz w:val="18"/>
          <w:szCs w:val="18"/>
          <w:lang w:val="es-SV"/>
        </w:rPr>
        <w:t>Revista Día marítimo mundial, 2004, pp. 3-5.</w:t>
      </w:r>
    </w:p>
  </w:footnote>
  <w:footnote w:id="159">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FUSADES. </w:t>
      </w:r>
      <w:r>
        <w:rPr>
          <w:rFonts w:ascii="Arial" w:hAnsi="Arial" w:cs="Arial"/>
          <w:i/>
          <w:sz w:val="18"/>
          <w:szCs w:val="18"/>
          <w:lang w:val="es-SV"/>
        </w:rPr>
        <w:t>Consideraciones sobre el Derecho Marítimo Salvadoreño,</w:t>
      </w:r>
      <w:r>
        <w:rPr>
          <w:rFonts w:ascii="Arial" w:hAnsi="Arial" w:cs="Arial"/>
          <w:sz w:val="18"/>
          <w:szCs w:val="18"/>
          <w:lang w:val="es-SV"/>
        </w:rPr>
        <w:t xml:space="preserve"> Boletín de Estudios Legales, 2008, p.8.</w:t>
      </w:r>
    </w:p>
  </w:footnote>
  <w:footnote w:id="160">
    <w:p w:rsidR="00AC7D7B" w:rsidRDefault="00AC7D7B" w:rsidP="00232C32">
      <w:pPr>
        <w:pStyle w:val="Textonotapie"/>
        <w:jc w:val="both"/>
      </w:pPr>
      <w:r>
        <w:rPr>
          <w:rStyle w:val="Refdenotaalpie"/>
          <w:rFonts w:ascii="Arial" w:hAnsi="Arial" w:cs="Arial"/>
        </w:rPr>
        <w:sym w:font="Symbol" w:char="F02A"/>
      </w:r>
      <w:r>
        <w:rPr>
          <w:rFonts w:ascii="Arial" w:hAnsi="Arial" w:cs="Arial"/>
          <w:sz w:val="18"/>
          <w:szCs w:val="18"/>
        </w:rPr>
        <w:t xml:space="preserve"> </w:t>
      </w:r>
      <w:r>
        <w:rPr>
          <w:rFonts w:ascii="Arial" w:hAnsi="Arial" w:cs="Arial"/>
          <w:sz w:val="18"/>
          <w:szCs w:val="18"/>
          <w:lang w:val="es-SV"/>
        </w:rPr>
        <w:t>Los anexos I y II, del Convenio MARPOL 73/78, son de carácter obligatorio para los Estados que se decidan adherirse al convenio, por lo tanto deben cumplir con todas las normas contenidas en los mismos.</w:t>
      </w:r>
    </w:p>
  </w:footnote>
  <w:footnote w:id="161">
    <w:p w:rsidR="00AC7D7B" w:rsidRDefault="00AC7D7B" w:rsidP="00232C32">
      <w:pPr>
        <w:pStyle w:val="Textonotapie"/>
        <w:jc w:val="both"/>
      </w:pPr>
      <w:r w:rsidRPr="005D430C">
        <w:rPr>
          <w:rStyle w:val="Refdenotaalpie"/>
        </w:rPr>
        <w:sym w:font="Symbol" w:char="F02A"/>
      </w:r>
      <w:r w:rsidRPr="005D430C">
        <w:rPr>
          <w:rStyle w:val="Refdenotaalpie"/>
        </w:rPr>
        <w:sym w:font="Symbol" w:char="F02A"/>
      </w:r>
      <w:r>
        <w:t xml:space="preserve"> </w:t>
      </w:r>
      <w:r>
        <w:rPr>
          <w:rFonts w:ascii="Arial" w:hAnsi="Arial" w:cs="Arial"/>
          <w:sz w:val="18"/>
          <w:szCs w:val="18"/>
          <w:lang w:val="es-SV"/>
        </w:rPr>
        <w:t>Es importante destacar que actualmente existen tres FIDAC: el FONDO de1971, FONDO de 1992 y el FONDO Complementario que es el del 2005.</w:t>
      </w:r>
    </w:p>
  </w:footnote>
  <w:footnote w:id="162">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El Código STCW 95, es un convenio nuevo que nació del STCW de 1978 que entró en vigor 6 años después, es decir en 1984, debido a que este último de 1978, se consideraba que tenía muchos vacios y es por eso que se le hicieron diversas enmiendas, y es así como nació el nuevo STCW 95.</w:t>
      </w:r>
    </w:p>
  </w:footnote>
  <w:footnote w:id="163">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tomada del sitio web:  http://www.ismshipping.com/espanol/articles/2001/stcw95-1.htm</w:t>
      </w:r>
    </w:p>
  </w:footnote>
  <w:footnote w:id="164">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La Asociación Americana de Autoridades Portuarias, es la alianza entre los puertos del Hemisferio Occidental, y representa a más de 150 entidades portuarias públicas. La Asociación promueve los intereses comunes de la comunidad portuaria, y provee liderazgo en las áreas del comercio, el transporte, el medio ambiente, y otros asuntos relacionados al desarrollo portuario y sus operaciones. La AAPA promueve la comprensión del papel esencial que juegan los puertos dentro del sistema de transpor</w:t>
      </w:r>
      <w:r>
        <w:rPr>
          <w:rFonts w:ascii="Arial" w:hAnsi="Arial" w:cs="Arial"/>
          <w:sz w:val="18"/>
          <w:szCs w:val="18"/>
        </w:rPr>
        <w:softHyphen/>
        <w:t>tación mundial. La Asociación sirve como un recurso para ayudar a sus miembros alcanzar sus responsabil</w:t>
      </w:r>
      <w:r>
        <w:rPr>
          <w:rFonts w:ascii="Arial" w:hAnsi="Arial" w:cs="Arial"/>
          <w:sz w:val="18"/>
          <w:szCs w:val="18"/>
        </w:rPr>
        <w:softHyphen/>
        <w:t>idades profesionales.</w:t>
      </w:r>
    </w:p>
  </w:footnote>
  <w:footnote w:id="165">
    <w:p w:rsidR="00AC7D7B" w:rsidRDefault="00AC7D7B" w:rsidP="00232C32">
      <w:pPr>
        <w:pStyle w:val="Textonotapie"/>
        <w:jc w:val="both"/>
      </w:pPr>
      <w:r>
        <w:rPr>
          <w:rStyle w:val="Refdenotaalpie"/>
        </w:rPr>
        <w:footnoteRef/>
      </w:r>
      <w:r>
        <w:rPr>
          <w:rFonts w:ascii="Arial" w:hAnsi="Arial" w:cs="Arial"/>
          <w:sz w:val="18"/>
          <w:szCs w:val="18"/>
        </w:rPr>
        <w:t xml:space="preserve"> Información tomada del sitio web: http://www.cepa.gob.sv/contenido.php?cont=18&amp;id=17</w:t>
      </w:r>
    </w:p>
  </w:footnote>
  <w:footnote w:id="166">
    <w:p w:rsidR="00AC7D7B" w:rsidRDefault="00AC7D7B" w:rsidP="00232C32">
      <w:pPr>
        <w:pStyle w:val="Textonotapie"/>
        <w:jc w:val="both"/>
      </w:pPr>
      <w:r>
        <w:rPr>
          <w:rStyle w:val="Refdenotaalpie"/>
          <w:rFonts w:ascii="Arial" w:hAnsi="Arial" w:cs="Arial"/>
        </w:rPr>
        <w:sym w:font="Symbol" w:char="F02A"/>
      </w:r>
      <w:r>
        <w:rPr>
          <w:rFonts w:ascii="Arial" w:hAnsi="Arial" w:cs="Arial"/>
          <w:sz w:val="18"/>
          <w:szCs w:val="18"/>
        </w:rPr>
        <w:t xml:space="preserve"> </w:t>
      </w:r>
      <w:r>
        <w:rPr>
          <w:rFonts w:ascii="Arial" w:hAnsi="Arial" w:cs="Arial"/>
          <w:sz w:val="18"/>
          <w:szCs w:val="18"/>
          <w:lang w:val="es-SV"/>
        </w:rPr>
        <w:t>Cabe aclarar que el aeropuerto comenzó a entrar en función al público en el año de 1980.</w:t>
      </w:r>
    </w:p>
  </w:footnote>
  <w:footnote w:id="167">
    <w:p w:rsidR="00AC7D7B" w:rsidRDefault="00AC7D7B" w:rsidP="00232C32">
      <w:pPr>
        <w:pStyle w:val="Textonotapie"/>
        <w:jc w:val="both"/>
      </w:pPr>
      <w:r>
        <w:rPr>
          <w:rStyle w:val="Refdenotaalpie"/>
        </w:rPr>
        <w:sym w:font="Symbol" w:char="F02A"/>
      </w:r>
      <w:r>
        <w:t xml:space="preserve"> </w:t>
      </w:r>
      <w:r>
        <w:rPr>
          <w:rFonts w:ascii="Arial" w:hAnsi="Arial" w:cs="Arial"/>
          <w:sz w:val="18"/>
          <w:szCs w:val="18"/>
          <w:lang w:val="es-SV"/>
        </w:rPr>
        <w:t>Político salvadoreño y uno de  los presidentes de honor del partido derechista Alianza Republicana Nacionalista (ARENA). Se desempeñó como presidente de la República de El Salvador en el lapso comprendido de 1994-1999, como sucesor del también derechista de ARENA Alfredo Cristiani Burkard.</w:t>
      </w:r>
    </w:p>
  </w:footnote>
  <w:footnote w:id="168">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tomada del sitio web de CEPA.</w:t>
      </w:r>
    </w:p>
  </w:footnote>
  <w:footnote w:id="169">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Red de Estadísticas Portuarias Centroamericanas. </w:t>
      </w:r>
      <w:r>
        <w:rPr>
          <w:rFonts w:ascii="Arial" w:hAnsi="Arial" w:cs="Arial"/>
          <w:i/>
          <w:sz w:val="18"/>
          <w:szCs w:val="18"/>
        </w:rPr>
        <w:t>Resumen estadístico portuario regional del istmo centroamericano</w:t>
      </w:r>
      <w:r>
        <w:rPr>
          <w:rFonts w:ascii="Arial" w:hAnsi="Arial" w:cs="Arial"/>
          <w:sz w:val="18"/>
          <w:szCs w:val="18"/>
        </w:rPr>
        <w:t>, Revista de la COCATRAM, 2001, p. 11.</w:t>
      </w:r>
    </w:p>
  </w:footnote>
  <w:footnote w:id="170">
    <w:p w:rsidR="00AC7D7B" w:rsidRDefault="00AC7D7B" w:rsidP="00232C32">
      <w:pPr>
        <w:pStyle w:val="Textonotapie"/>
      </w:pPr>
      <w:r>
        <w:rPr>
          <w:rStyle w:val="Refdenotaalpie"/>
        </w:rPr>
        <w:footnoteRef/>
      </w:r>
      <w:r>
        <w:t xml:space="preserve"> </w:t>
      </w:r>
      <w:r>
        <w:rPr>
          <w:rFonts w:ascii="Arial" w:hAnsi="Arial" w:cs="Arial"/>
          <w:sz w:val="18"/>
          <w:szCs w:val="18"/>
        </w:rPr>
        <w:t xml:space="preserve">Red de Estadísticas Portuarias Centroamericanas. </w:t>
      </w:r>
      <w:r>
        <w:rPr>
          <w:rFonts w:ascii="Arial" w:hAnsi="Arial" w:cs="Arial"/>
          <w:i/>
          <w:sz w:val="18"/>
          <w:szCs w:val="18"/>
        </w:rPr>
        <w:t>Resumen estadístico portuario regional del istmo centroamericano</w:t>
      </w:r>
      <w:r>
        <w:rPr>
          <w:rFonts w:ascii="Arial" w:hAnsi="Arial" w:cs="Arial"/>
          <w:sz w:val="18"/>
          <w:szCs w:val="18"/>
        </w:rPr>
        <w:t>, revista de la COCATRAM, marzo 2004, p. 12.</w:t>
      </w:r>
    </w:p>
  </w:footnote>
  <w:footnote w:id="171">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Red de Estadísticas Portuarias Centroamericanas. </w:t>
      </w:r>
      <w:r>
        <w:rPr>
          <w:rFonts w:ascii="Arial" w:hAnsi="Arial" w:cs="Arial"/>
          <w:i/>
          <w:sz w:val="18"/>
          <w:szCs w:val="18"/>
        </w:rPr>
        <w:t>Resumen estadístico portuario regional del istmo centroamericano</w:t>
      </w:r>
      <w:r>
        <w:rPr>
          <w:rFonts w:ascii="Arial" w:hAnsi="Arial" w:cs="Arial"/>
          <w:sz w:val="18"/>
          <w:szCs w:val="18"/>
        </w:rPr>
        <w:t>, revista de la COCATRAM, 2008, p. 24.</w:t>
      </w:r>
    </w:p>
  </w:footnote>
  <w:footnote w:id="172">
    <w:p w:rsidR="00AC7D7B" w:rsidRDefault="00AC7D7B" w:rsidP="00232C32">
      <w:pPr>
        <w:pStyle w:val="Textonotapie"/>
        <w:jc w:val="both"/>
      </w:pPr>
      <w:r>
        <w:rPr>
          <w:rStyle w:val="Refdenotaalpie"/>
        </w:rPr>
        <w:footnoteRef/>
      </w:r>
      <w:r>
        <w:t xml:space="preserve"> </w:t>
      </w:r>
      <w:r>
        <w:rPr>
          <w:rFonts w:ascii="Arial" w:hAnsi="Arial" w:cs="Arial"/>
          <w:sz w:val="18"/>
          <w:szCs w:val="18"/>
          <w:lang w:val="es-MX"/>
        </w:rPr>
        <w:t xml:space="preserve">CEPAL. </w:t>
      </w:r>
      <w:r>
        <w:rPr>
          <w:rFonts w:ascii="Arial" w:hAnsi="Arial" w:cs="Arial"/>
          <w:i/>
          <w:sz w:val="18"/>
          <w:szCs w:val="18"/>
          <w:lang w:val="es-MX"/>
        </w:rPr>
        <w:t xml:space="preserve">Movimiento portuario de contenedores en América Latina cayó 6,8% en 2009, </w:t>
      </w:r>
      <w:r>
        <w:rPr>
          <w:rFonts w:ascii="Arial" w:hAnsi="Arial" w:cs="Arial"/>
          <w:sz w:val="18"/>
          <w:szCs w:val="18"/>
          <w:lang w:val="es-MX"/>
        </w:rPr>
        <w:t>Servicios de información, Santiago de Chile, abril 2010, pp. 45-49</w:t>
      </w:r>
    </w:p>
  </w:footnote>
  <w:footnote w:id="173">
    <w:p w:rsidR="00AC7D7B" w:rsidRDefault="00AC7D7B" w:rsidP="00232C32">
      <w:pPr>
        <w:pStyle w:val="Textonotapie"/>
      </w:pPr>
      <w:r>
        <w:rPr>
          <w:rStyle w:val="Refdenotaalpie"/>
        </w:rPr>
        <w:footnoteRef/>
      </w:r>
      <w:r>
        <w:t xml:space="preserve"> </w:t>
      </w:r>
      <w:r>
        <w:rPr>
          <w:i/>
        </w:rPr>
        <w:t xml:space="preserve">Ibídem., </w:t>
      </w:r>
      <w:r>
        <w:rPr>
          <w:rFonts w:ascii="Arial" w:hAnsi="Arial" w:cs="Arial"/>
          <w:sz w:val="18"/>
          <w:szCs w:val="18"/>
          <w:lang w:val="es-MX"/>
        </w:rPr>
        <w:t>p. 63.</w:t>
      </w:r>
    </w:p>
  </w:footnote>
  <w:footnote w:id="174">
    <w:p w:rsidR="00AC7D7B" w:rsidRDefault="00AC7D7B" w:rsidP="00232C32">
      <w:pPr>
        <w:pStyle w:val="Textonotapie"/>
        <w:jc w:val="both"/>
      </w:pPr>
      <w:r>
        <w:rPr>
          <w:rStyle w:val="Refdenotaalpie"/>
        </w:rPr>
        <w:sym w:font="Symbol" w:char="F02A"/>
      </w:r>
      <w:r>
        <w:t xml:space="preserve"> </w:t>
      </w:r>
      <w:r>
        <w:rPr>
          <w:rFonts w:ascii="Arial" w:hAnsi="Arial" w:cs="Arial"/>
          <w:sz w:val="18"/>
          <w:szCs w:val="18"/>
          <w:lang w:eastAsia="es-MX"/>
        </w:rPr>
        <w:t>Es una mezcla de hidrocarburos livianos constituida principalmente por C3's (propano y compuestos derivados de éste) y C4's (butanos y compuestos derivados de éstos), en proporciones variables y que a condiciones normales es gaseosa y al comprimirla pasa a estado líquido. Puede producirse en plantas de procesamiento de gas natural o en refinerías, especialmente en plantas de ruptura catalítica.</w:t>
      </w:r>
    </w:p>
  </w:footnote>
  <w:footnote w:id="175">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La kerosina es un aceite medio ligero procedente de la refinación del petróleo, intermedio entre el gasóleo y la gasolina; además este es utilizado para alumbrado y calefacción y también como combustible para los motores de aviones a chorro y los de turbo-diesel.</w:t>
      </w:r>
    </w:p>
  </w:footnote>
  <w:footnote w:id="176">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El turbo fuel también conocido como combustible para motores a propulsión, es un derivado de petróleo y se utiliza como gasolina para aviones jet.</w:t>
      </w:r>
    </w:p>
  </w:footnote>
  <w:footnote w:id="177">
    <w:p w:rsidR="00AC7D7B" w:rsidRDefault="00AC7D7B" w:rsidP="00232C32">
      <w:pPr>
        <w:pStyle w:val="Textonotapie"/>
        <w:jc w:val="both"/>
      </w:pPr>
      <w:r>
        <w:rPr>
          <w:rStyle w:val="Refdenotaalpie"/>
        </w:rPr>
        <w:sym w:font="Symbol" w:char="F02A"/>
      </w:r>
      <w:r>
        <w:rPr>
          <w:rStyle w:val="Refdenotaalpie"/>
        </w:rPr>
        <w:sym w:font="Symbol" w:char="F02A"/>
      </w:r>
      <w:r>
        <w:rPr>
          <w:rStyle w:val="Refdenotaalpie"/>
        </w:rPr>
        <w:sym w:font="Symbol" w:char="F02A"/>
      </w:r>
      <w:r>
        <w:t xml:space="preserve"> </w:t>
      </w:r>
      <w:r>
        <w:rPr>
          <w:rFonts w:ascii="Arial" w:hAnsi="Arial" w:cs="Arial"/>
          <w:sz w:val="18"/>
          <w:szCs w:val="18"/>
        </w:rPr>
        <w:t>La foto oxidación es la reacción por la que el oxígeno se combina con otros elementos por influencia de la luz. En este caso las moléculas de agua se separan en electrones libres y moléculas de oxígeno. Las moléculas de oxígeno (O2) se espera reaccionen con el dióxido de carbono (CO2) para producir el combustible líquido llamado metanol (CH3OH)</w:t>
      </w:r>
    </w:p>
  </w:footnote>
  <w:footnote w:id="178">
    <w:p w:rsidR="00AC7D7B" w:rsidRDefault="00AC7D7B" w:rsidP="00232C32">
      <w:pPr>
        <w:pStyle w:val="Textonotapie"/>
        <w:jc w:val="both"/>
      </w:pPr>
      <w:r>
        <w:rPr>
          <w:rStyle w:val="Refdenotaalpie"/>
        </w:rPr>
        <w:footnoteRef/>
      </w:r>
      <w:r>
        <w:t xml:space="preserve"> </w:t>
      </w:r>
      <w:r>
        <w:rPr>
          <w:rFonts w:ascii="Arial" w:hAnsi="Arial" w:cs="Arial"/>
          <w:i/>
          <w:sz w:val="18"/>
          <w:szCs w:val="18"/>
        </w:rPr>
        <w:t xml:space="preserve">Ibídem., </w:t>
      </w:r>
      <w:r>
        <w:rPr>
          <w:rFonts w:ascii="Arial" w:hAnsi="Arial" w:cs="Arial"/>
          <w:sz w:val="18"/>
          <w:szCs w:val="18"/>
        </w:rPr>
        <w:t>p. 2.</w:t>
      </w:r>
    </w:p>
  </w:footnote>
  <w:footnote w:id="179">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 xml:space="preserve">Los estuarios son cuerpos de agua donde la desembocadura de un río se abre a un </w:t>
      </w:r>
      <w:r>
        <w:rPr>
          <w:rFonts w:ascii="Arial" w:hAnsi="Arial" w:cs="Arial"/>
          <w:bCs/>
          <w:sz w:val="18"/>
          <w:szCs w:val="18"/>
        </w:rPr>
        <w:t>ecosistema marino</w:t>
      </w:r>
      <w:r>
        <w:rPr>
          <w:rFonts w:ascii="Arial" w:hAnsi="Arial" w:cs="Arial"/>
          <w:sz w:val="18"/>
          <w:szCs w:val="18"/>
        </w:rPr>
        <w:t>, con una salinidad entre dulce y salada, o donde el agua de mar se diluye significativamente con el agua dulce que proviene del drenaje terrestre. En estos ecosistemas existe un gran intercambio de materiales como el agua, la salinidad, los nutrientes, los sedimentos y los organismos vivos. Estas características, permiten que se presente una gran diversidad de ambientes o hábitats.</w:t>
      </w:r>
    </w:p>
  </w:footnote>
  <w:footnote w:id="180">
    <w:p w:rsidR="00AC7D7B" w:rsidRDefault="00AC7D7B" w:rsidP="00232C32">
      <w:pPr>
        <w:pStyle w:val="Textonotapie"/>
        <w:jc w:val="both"/>
      </w:pPr>
      <w:r>
        <w:rPr>
          <w:rStyle w:val="Refdenotaalpie"/>
        </w:rPr>
        <w:footnoteRef/>
      </w:r>
      <w:r>
        <w:t xml:space="preserve"> </w:t>
      </w:r>
      <w:r>
        <w:rPr>
          <w:rFonts w:ascii="Arial" w:hAnsi="Arial" w:cs="Arial"/>
          <w:i/>
          <w:sz w:val="18"/>
          <w:szCs w:val="18"/>
        </w:rPr>
        <w:t xml:space="preserve">Ibídem., </w:t>
      </w:r>
      <w:r>
        <w:rPr>
          <w:rFonts w:ascii="Arial" w:hAnsi="Arial" w:cs="Arial"/>
          <w:sz w:val="18"/>
          <w:szCs w:val="18"/>
        </w:rPr>
        <w:t>p. 2.</w:t>
      </w:r>
    </w:p>
  </w:footnote>
  <w:footnote w:id="181">
    <w:p w:rsidR="00AC7D7B" w:rsidRDefault="00AC7D7B" w:rsidP="00232C32">
      <w:pPr>
        <w:pStyle w:val="Textonotapie"/>
        <w:jc w:val="both"/>
      </w:pPr>
      <w:r>
        <w:rPr>
          <w:rStyle w:val="Refdenotaalpie"/>
        </w:rPr>
        <w:footnoteRef/>
      </w:r>
      <w:r>
        <w:t xml:space="preserve"> </w:t>
      </w:r>
      <w:r>
        <w:rPr>
          <w:rFonts w:ascii="Arial" w:hAnsi="Arial" w:cs="Arial"/>
          <w:sz w:val="18"/>
          <w:szCs w:val="18"/>
        </w:rPr>
        <w:t>Información tomada de sitio web: http://www.cep.unep.org/racrempeitc</w:t>
      </w:r>
    </w:p>
  </w:footnote>
  <w:footnote w:id="182">
    <w:p w:rsidR="00AC7D7B" w:rsidRDefault="00AC7D7B" w:rsidP="00232C32">
      <w:pPr>
        <w:pStyle w:val="Textonotapie"/>
        <w:jc w:val="both"/>
      </w:pPr>
      <w:r>
        <w:rPr>
          <w:rStyle w:val="Refdenotaalpie"/>
        </w:rPr>
        <w:sym w:font="Symbol" w:char="F02A"/>
      </w:r>
      <w:r>
        <w:t xml:space="preserve"> </w:t>
      </w:r>
      <w:r>
        <w:rPr>
          <w:rFonts w:ascii="Arial" w:hAnsi="Arial" w:cs="Arial"/>
          <w:sz w:val="18"/>
          <w:szCs w:val="18"/>
        </w:rPr>
        <w:t xml:space="preserve">Es </w:t>
      </w:r>
      <w:r w:rsidRPr="005F780E">
        <w:rPr>
          <w:rFonts w:ascii="Arial" w:hAnsi="Arial" w:cs="Arial"/>
          <w:sz w:val="18"/>
          <w:szCs w:val="18"/>
        </w:rPr>
        <w:t xml:space="preserve">un </w:t>
      </w:r>
      <w:hyperlink r:id="rId4" w:tooltip="Promontorio" w:history="1">
        <w:r w:rsidRPr="005F780E">
          <w:rPr>
            <w:rStyle w:val="Hipervnculo"/>
            <w:rFonts w:ascii="Arial" w:hAnsi="Arial" w:cs="Arial"/>
            <w:color w:val="auto"/>
            <w:sz w:val="18"/>
            <w:szCs w:val="18"/>
            <w:u w:val="none"/>
          </w:rPr>
          <w:t>promontorio</w:t>
        </w:r>
      </w:hyperlink>
      <w:r w:rsidRPr="005F780E">
        <w:rPr>
          <w:rFonts w:ascii="Arial" w:hAnsi="Arial" w:cs="Arial"/>
          <w:sz w:val="18"/>
          <w:szCs w:val="18"/>
        </w:rPr>
        <w:t xml:space="preserve"> </w:t>
      </w:r>
      <w:hyperlink r:id="rId5" w:tooltip="Roca" w:history="1">
        <w:r w:rsidRPr="005F780E">
          <w:rPr>
            <w:rStyle w:val="Hipervnculo"/>
            <w:rFonts w:ascii="Arial" w:hAnsi="Arial" w:cs="Arial"/>
            <w:color w:val="auto"/>
            <w:sz w:val="18"/>
            <w:szCs w:val="18"/>
            <w:u w:val="none"/>
          </w:rPr>
          <w:t>rocoso</w:t>
        </w:r>
      </w:hyperlink>
      <w:r w:rsidRPr="005F780E">
        <w:rPr>
          <w:rFonts w:ascii="Arial" w:hAnsi="Arial" w:cs="Arial"/>
          <w:sz w:val="18"/>
          <w:szCs w:val="18"/>
        </w:rPr>
        <w:t xml:space="preserve"> que se alza sobre el </w:t>
      </w:r>
      <w:hyperlink r:id="rId6" w:tooltip="Mar" w:history="1">
        <w:r w:rsidRPr="005F780E">
          <w:rPr>
            <w:rStyle w:val="Hipervnculo"/>
            <w:rFonts w:ascii="Arial" w:hAnsi="Arial" w:cs="Arial"/>
            <w:color w:val="auto"/>
            <w:sz w:val="18"/>
            <w:szCs w:val="18"/>
            <w:u w:val="none"/>
          </w:rPr>
          <w:t>mar</w:t>
        </w:r>
      </w:hyperlink>
      <w:r w:rsidRPr="005F780E">
        <w:rPr>
          <w:rFonts w:ascii="Arial" w:hAnsi="Arial" w:cs="Arial"/>
          <w:sz w:val="18"/>
          <w:szCs w:val="18"/>
        </w:rPr>
        <w:t xml:space="preserve"> cerca de la línea de </w:t>
      </w:r>
      <w:hyperlink r:id="rId7" w:tooltip="Costa" w:history="1">
        <w:r w:rsidRPr="005F780E">
          <w:rPr>
            <w:rStyle w:val="Hipervnculo"/>
            <w:rFonts w:ascii="Arial" w:hAnsi="Arial" w:cs="Arial"/>
            <w:color w:val="auto"/>
            <w:sz w:val="18"/>
            <w:szCs w:val="18"/>
            <w:u w:val="none"/>
          </w:rPr>
          <w:t>costa</w:t>
        </w:r>
      </w:hyperlink>
      <w:r w:rsidRPr="005F780E">
        <w:rPr>
          <w:rFonts w:ascii="Arial" w:hAnsi="Arial" w:cs="Arial"/>
          <w:sz w:val="18"/>
          <w:szCs w:val="18"/>
        </w:rPr>
        <w:t xml:space="preserve">, originado por la acción </w:t>
      </w:r>
      <w:hyperlink r:id="rId8" w:tooltip="Erosión" w:history="1">
        <w:r w:rsidRPr="005F780E">
          <w:rPr>
            <w:rStyle w:val="Hipervnculo"/>
            <w:rFonts w:ascii="Arial" w:hAnsi="Arial" w:cs="Arial"/>
            <w:color w:val="auto"/>
            <w:sz w:val="18"/>
            <w:szCs w:val="18"/>
            <w:u w:val="none"/>
          </w:rPr>
          <w:t>erosiva</w:t>
        </w:r>
      </w:hyperlink>
      <w:r w:rsidRPr="005F780E">
        <w:rPr>
          <w:rFonts w:ascii="Arial" w:hAnsi="Arial" w:cs="Arial"/>
          <w:sz w:val="18"/>
          <w:szCs w:val="18"/>
        </w:rPr>
        <w:t xml:space="preserve"> de las </w:t>
      </w:r>
      <w:hyperlink r:id="rId9" w:tooltip="Ola" w:history="1">
        <w:r w:rsidRPr="005F780E">
          <w:rPr>
            <w:rStyle w:val="Hipervnculo"/>
            <w:rFonts w:ascii="Arial" w:hAnsi="Arial" w:cs="Arial"/>
            <w:color w:val="auto"/>
            <w:sz w:val="18"/>
            <w:szCs w:val="18"/>
            <w:u w:val="none"/>
          </w:rPr>
          <w:t>olas</w:t>
        </w:r>
      </w:hyperlink>
      <w:r w:rsidRPr="005F780E">
        <w:rPr>
          <w:rFonts w:ascii="Arial" w:hAnsi="Arial" w:cs="Arial"/>
          <w:sz w:val="18"/>
          <w:szCs w:val="18"/>
        </w:rPr>
        <w:t xml:space="preserve"> sobre las partes más blandas de un </w:t>
      </w:r>
      <w:hyperlink r:id="rId10" w:tooltip="Acantilado" w:history="1">
        <w:r w:rsidRPr="005F780E">
          <w:rPr>
            <w:rStyle w:val="Hipervnculo"/>
            <w:rFonts w:ascii="Arial" w:hAnsi="Arial" w:cs="Arial"/>
            <w:color w:val="auto"/>
            <w:sz w:val="18"/>
            <w:szCs w:val="18"/>
            <w:u w:val="none"/>
          </w:rPr>
          <w:t>acantilado</w:t>
        </w:r>
      </w:hyperlink>
      <w:r w:rsidRPr="005F780E">
        <w:rPr>
          <w:rFonts w:ascii="Arial" w:hAnsi="Arial" w:cs="Arial"/>
          <w:sz w:val="18"/>
          <w:szCs w:val="18"/>
        </w:rPr>
        <w:t xml:space="preserve">. Esta forma de relieve resultante constituía con anterioridad parte de la tierra firme, pero quedó aislada por los efectos del oleaje al desencadenarse un proceso de erosión que comienza con la excavación de una </w:t>
      </w:r>
      <w:hyperlink r:id="rId11" w:tooltip="Cueva" w:history="1">
        <w:r w:rsidRPr="005F780E">
          <w:rPr>
            <w:rStyle w:val="Hipervnculo"/>
            <w:rFonts w:ascii="Arial" w:hAnsi="Arial" w:cs="Arial"/>
            <w:color w:val="auto"/>
            <w:sz w:val="18"/>
            <w:szCs w:val="18"/>
            <w:u w:val="none"/>
          </w:rPr>
          <w:t>cueva</w:t>
        </w:r>
      </w:hyperlink>
      <w:r w:rsidRPr="005F780E">
        <w:rPr>
          <w:rFonts w:ascii="Arial" w:hAnsi="Arial" w:cs="Arial"/>
          <w:sz w:val="18"/>
          <w:szCs w:val="18"/>
        </w:rPr>
        <w:t xml:space="preserve"> en la pared del acantilado. Con el tiempo se formará un arco o puente que terminará por derrumbarse, dando lugar</w:t>
      </w:r>
      <w:r>
        <w:rPr>
          <w:rFonts w:ascii="Arial" w:hAnsi="Arial" w:cs="Arial"/>
          <w:sz w:val="18"/>
          <w:szCs w:val="18"/>
        </w:rPr>
        <w:t xml:space="preserve"> a unos salientes aislados que reciben el nombre de farallones.</w:t>
      </w:r>
    </w:p>
  </w:footnote>
  <w:footnote w:id="183">
    <w:p w:rsidR="00AC7D7B" w:rsidRDefault="00AC7D7B" w:rsidP="00232C32">
      <w:pPr>
        <w:pStyle w:val="Textonotapie"/>
        <w:jc w:val="both"/>
      </w:pPr>
      <w:r>
        <w:rPr>
          <w:rStyle w:val="Refdenotaalpie"/>
        </w:rPr>
        <w:sym w:font="Symbol" w:char="F02A"/>
      </w:r>
      <w:r>
        <w:rPr>
          <w:rStyle w:val="Refdenotaalpie"/>
        </w:rPr>
        <w:sym w:font="Symbol" w:char="F02A"/>
      </w:r>
      <w:r>
        <w:t xml:space="preserve"> </w:t>
      </w:r>
      <w:r>
        <w:rPr>
          <w:rFonts w:ascii="Arial" w:hAnsi="Arial" w:cs="Arial"/>
          <w:sz w:val="18"/>
          <w:szCs w:val="18"/>
        </w:rPr>
        <w:t>Son grupos organizados por personas elegidas por la comunidad o que se constituyen libremente para ejercer el control social en la vereda, el barrio o el municipio donde habitan, con el fin de vigilar el diseño y la ejecución de los programas, proyectos y servicios ofrecidos por las entidades públicas para cumplir con las responsabilidades asignadas por la Constitución Política. Las veedurías pueden organizarse para supervisar un contrato, la planeación municipal o departamental, la prestación de un servicio público, los proyectos de inversión pública o entidades.</w:t>
      </w:r>
    </w:p>
  </w:footnote>
  <w:footnote w:id="184">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OMI. </w:t>
      </w:r>
      <w:r>
        <w:rPr>
          <w:rFonts w:ascii="Arial" w:hAnsi="Arial" w:cs="Arial"/>
          <w:i/>
          <w:sz w:val="18"/>
          <w:szCs w:val="18"/>
        </w:rPr>
        <w:t>Medidas para incrementar la protección marina</w:t>
      </w:r>
      <w:r>
        <w:rPr>
          <w:rFonts w:ascii="Arial" w:hAnsi="Arial" w:cs="Arial"/>
          <w:sz w:val="18"/>
          <w:szCs w:val="18"/>
        </w:rPr>
        <w:t>, Documento de la Organización Marítima Internacional sobre las medidas para incrementar y fortalecer la seguridad marina, Londres, Inglaterra, 10 de junio de 2003, pp. 3-6.</w:t>
      </w:r>
    </w:p>
  </w:footnote>
  <w:footnote w:id="185">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CASTANEDA LAZO, Ana Bertha, </w:t>
      </w:r>
      <w:r>
        <w:rPr>
          <w:rFonts w:ascii="Arial" w:hAnsi="Arial" w:cs="Arial"/>
          <w:i/>
          <w:sz w:val="18"/>
          <w:szCs w:val="18"/>
        </w:rPr>
        <w:t xml:space="preserve">et al. Perspectivas del desarrollo portuario marítimo en El Salvador, </w:t>
      </w:r>
      <w:r>
        <w:rPr>
          <w:rFonts w:ascii="Arial" w:hAnsi="Arial" w:cs="Arial"/>
          <w:sz w:val="18"/>
          <w:szCs w:val="18"/>
        </w:rPr>
        <w:t>Facultad de Ciencias Económicas y Empresariales, Universidad José Simeón Cañas, 2008, p.22.</w:t>
      </w:r>
    </w:p>
  </w:footnote>
  <w:footnote w:id="186">
    <w:p w:rsidR="00AC7D7B" w:rsidRDefault="00AC7D7B" w:rsidP="00232C32">
      <w:pPr>
        <w:pStyle w:val="Textonotapie"/>
        <w:jc w:val="both"/>
      </w:pPr>
      <w:r>
        <w:rPr>
          <w:rStyle w:val="Refdenotaalpie"/>
        </w:rPr>
        <w:footnoteRef/>
      </w:r>
      <w:r>
        <w:t xml:space="preserve"> </w:t>
      </w:r>
      <w:r>
        <w:rPr>
          <w:rFonts w:ascii="Arial" w:hAnsi="Arial" w:cs="Arial"/>
          <w:i/>
          <w:sz w:val="18"/>
          <w:szCs w:val="18"/>
        </w:rPr>
        <w:t>Ibídem</w:t>
      </w:r>
      <w:r>
        <w:rPr>
          <w:rFonts w:ascii="Arial" w:hAnsi="Arial" w:cs="Arial"/>
          <w:sz w:val="18"/>
          <w:szCs w:val="18"/>
        </w:rPr>
        <w:t>., p.23.</w:t>
      </w:r>
    </w:p>
  </w:footnote>
  <w:footnote w:id="187">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AMP. </w:t>
      </w:r>
      <w:r>
        <w:rPr>
          <w:rFonts w:ascii="Arial" w:hAnsi="Arial" w:cs="Arial"/>
          <w:i/>
          <w:sz w:val="18"/>
          <w:szCs w:val="18"/>
        </w:rPr>
        <w:t>Situación de la protección ambiental portuaria en El Salvador</w:t>
      </w:r>
      <w:r>
        <w:rPr>
          <w:rFonts w:ascii="Arial" w:hAnsi="Arial" w:cs="Arial"/>
          <w:sz w:val="18"/>
          <w:szCs w:val="18"/>
        </w:rPr>
        <w:t>, Presentación de la Autoridad Marítima Portuaria, 2007.</w:t>
      </w:r>
    </w:p>
  </w:footnote>
  <w:footnote w:id="188">
    <w:p w:rsidR="00AC7D7B" w:rsidRDefault="00AC7D7B" w:rsidP="00232C32">
      <w:pPr>
        <w:pStyle w:val="Textonotapie"/>
        <w:jc w:val="both"/>
      </w:pPr>
      <w:r>
        <w:rPr>
          <w:rStyle w:val="Refdenotaalpie"/>
        </w:rPr>
        <w:sym w:font="Symbol" w:char="F02A"/>
      </w:r>
      <w:r>
        <w:t xml:space="preserve"> </w:t>
      </w:r>
      <w:r w:rsidRPr="009520CB">
        <w:rPr>
          <w:rStyle w:val="EncabezadodenotaCar"/>
          <w:rFonts w:ascii="Arial" w:hAnsi="Arial" w:cs="Arial"/>
          <w:sz w:val="18"/>
          <w:szCs w:val="18"/>
        </w:rPr>
        <w:t>La figura de la concesión puede tener diferentes concepciones según sea desde el punto de vista y autor, por ejemplo para el maestro Serra Rojas, la concesión es “un acto administrativo por medio de la cual la Administración Pública, confiere a una persona una condición o poder jurídico para ejercer ciertas prerrogativas publicas con determinadas obligaciones y derechos para la explotación de un servicio público, de bienes del Estado o los privilegios exclusivos que comprenden la propiedad industrial.” También otro autor como Otto Mayer la define de la siguiente manera: “El acto administrativo por el cual se da poner a un individuo sobre una parte de la administración pública”.</w:t>
      </w:r>
      <w:r>
        <w:rPr>
          <w:rFonts w:ascii="Arial" w:hAnsi="Arial" w:cs="Arial"/>
          <w:sz w:val="18"/>
          <w:szCs w:val="18"/>
        </w:rPr>
        <w:t xml:space="preserve"> </w:t>
      </w:r>
      <w:r>
        <w:rPr>
          <w:rFonts w:ascii="Arial" w:hAnsi="Arial" w:cs="Arial"/>
          <w:sz w:val="18"/>
          <w:szCs w:val="18"/>
        </w:rPr>
        <w:tab/>
      </w:r>
    </w:p>
  </w:footnote>
  <w:footnote w:id="189">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HERNANDEZ </w:t>
      </w:r>
      <w:r>
        <w:rPr>
          <w:rFonts w:ascii="Arial" w:hAnsi="Arial" w:cs="Arial"/>
          <w:sz w:val="18"/>
          <w:szCs w:val="18"/>
          <w:lang w:val="es-MX"/>
        </w:rPr>
        <w:t xml:space="preserve">G.; CHOTO D. </w:t>
      </w:r>
      <w:r>
        <w:rPr>
          <w:rFonts w:ascii="Arial" w:hAnsi="Arial" w:cs="Arial"/>
          <w:i/>
          <w:sz w:val="18"/>
          <w:szCs w:val="18"/>
          <w:lang w:val="es-MX"/>
        </w:rPr>
        <w:t xml:space="preserve">Receta japonesa: concesión parcial, </w:t>
      </w:r>
      <w:r>
        <w:rPr>
          <w:rFonts w:ascii="Arial" w:hAnsi="Arial" w:cs="Arial"/>
          <w:sz w:val="18"/>
          <w:szCs w:val="18"/>
          <w:lang w:val="es-MX"/>
        </w:rPr>
        <w:t>El Diario de Hoy, Artículo de periódico, 11 de mayo de 2010.</w:t>
      </w:r>
    </w:p>
  </w:footnote>
  <w:footnote w:id="190">
    <w:p w:rsidR="00AC7D7B" w:rsidRDefault="00AC7D7B" w:rsidP="00232C32">
      <w:pPr>
        <w:pStyle w:val="Textonotapie"/>
        <w:jc w:val="both"/>
      </w:pPr>
      <w:r>
        <w:rPr>
          <w:rStyle w:val="Refdenotaalpie"/>
        </w:rPr>
        <w:sym w:font="Symbol" w:char="F02A"/>
      </w:r>
      <w:r>
        <w:t xml:space="preserve"> </w:t>
      </w:r>
      <w:r>
        <w:rPr>
          <w:rFonts w:ascii="Arial" w:hAnsi="Arial"/>
          <w:sz w:val="18"/>
          <w:szCs w:val="18"/>
        </w:rPr>
        <w:t>E</w:t>
      </w:r>
      <w:r>
        <w:rPr>
          <w:rFonts w:ascii="Arial" w:hAnsi="Arial" w:cs="Arial"/>
          <w:sz w:val="18"/>
          <w:szCs w:val="18"/>
          <w:lang w:val="es-MX"/>
        </w:rPr>
        <w:t>l arrendamiento es el contrato  por el cual una de las partes, llamada arrendador, se obliga a transferir temporalmente el uso y goce de una cosa mueble o inmueble a otra parte denominada arrendatario, quien a su vez se obliga a pagar por ese uso o goce un precio cierto y determinado.</w:t>
      </w:r>
    </w:p>
  </w:footnote>
  <w:footnote w:id="191">
    <w:p w:rsidR="00AC7D7B" w:rsidRDefault="00AC7D7B" w:rsidP="00232C32">
      <w:pPr>
        <w:pStyle w:val="Textonotapie"/>
        <w:jc w:val="both"/>
      </w:pPr>
      <w:r>
        <w:rPr>
          <w:rStyle w:val="Refdenotaalpie"/>
        </w:rPr>
        <w:footnoteRef/>
      </w:r>
      <w:r>
        <w:t xml:space="preserve"> </w:t>
      </w:r>
      <w:r>
        <w:rPr>
          <w:rFonts w:ascii="Arial" w:hAnsi="Arial" w:cs="Arial"/>
          <w:sz w:val="18"/>
          <w:szCs w:val="18"/>
        </w:rPr>
        <w:t xml:space="preserve">CEPA. </w:t>
      </w:r>
      <w:r>
        <w:rPr>
          <w:rFonts w:ascii="Arial" w:hAnsi="Arial" w:cs="Arial"/>
          <w:i/>
          <w:sz w:val="18"/>
          <w:szCs w:val="18"/>
        </w:rPr>
        <w:t>Boletín sobre la posible concesión del Puerto de La Unión</w:t>
      </w:r>
      <w:r>
        <w:rPr>
          <w:rFonts w:ascii="Arial" w:hAnsi="Arial" w:cs="Arial"/>
          <w:sz w:val="18"/>
          <w:szCs w:val="18"/>
        </w:rPr>
        <w:t>, 2009.</w:t>
      </w:r>
    </w:p>
  </w:footnote>
  <w:footnote w:id="192">
    <w:p w:rsidR="00AC7D7B" w:rsidRDefault="00AC7D7B" w:rsidP="00232C32">
      <w:pPr>
        <w:pStyle w:val="Textonotapie"/>
        <w:jc w:val="both"/>
      </w:pPr>
      <w:r>
        <w:rPr>
          <w:rStyle w:val="Refdenotaalpie"/>
        </w:rPr>
        <w:footnoteRef/>
      </w:r>
      <w:r>
        <w:t xml:space="preserve"> </w:t>
      </w:r>
      <w:r>
        <w:rPr>
          <w:rFonts w:ascii="Arial" w:hAnsi="Arial" w:cs="Arial"/>
          <w:i/>
          <w:sz w:val="18"/>
          <w:szCs w:val="18"/>
        </w:rPr>
        <w:t>Ibídem.,</w:t>
      </w:r>
      <w:r>
        <w:rPr>
          <w:rFonts w:ascii="Arial" w:hAnsi="Arial" w:cs="Arial"/>
          <w:sz w:val="18"/>
          <w:szCs w:val="18"/>
        </w:rPr>
        <w:t xml:space="preserve"> pp.6-8.</w:t>
      </w:r>
    </w:p>
  </w:footnote>
  <w:footnote w:id="193">
    <w:p w:rsidR="00AC7D7B" w:rsidRDefault="00AC7D7B" w:rsidP="00232C32">
      <w:pPr>
        <w:pStyle w:val="Textonotapie"/>
      </w:pPr>
      <w:r>
        <w:rPr>
          <w:rStyle w:val="Refdenotaalpie"/>
        </w:rPr>
        <w:footnoteRef/>
      </w:r>
      <w:r>
        <w:t xml:space="preserve"> </w:t>
      </w:r>
      <w:r>
        <w:rPr>
          <w:rFonts w:ascii="Arial" w:hAnsi="Arial"/>
          <w:sz w:val="18"/>
          <w:szCs w:val="18"/>
        </w:rPr>
        <w:t xml:space="preserve">COSTA RUA, Carles. </w:t>
      </w:r>
      <w:r>
        <w:rPr>
          <w:rFonts w:ascii="Arial" w:hAnsi="Arial"/>
          <w:i/>
          <w:sz w:val="18"/>
          <w:szCs w:val="18"/>
        </w:rPr>
        <w:t>Los puertos en el transporte marítimo</w:t>
      </w:r>
      <w:r>
        <w:rPr>
          <w:rFonts w:ascii="Arial" w:hAnsi="Arial"/>
          <w:sz w:val="18"/>
          <w:szCs w:val="18"/>
        </w:rPr>
        <w:t>, Universidad Politécnica de Catalunya, España, 2006. p., 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pt;height:11.2pt" o:bullet="t">
        <v:imagedata r:id="rId1" o:title=""/>
      </v:shape>
    </w:pict>
  </w:numPicBullet>
  <w:abstractNum w:abstractNumId="0">
    <w:nsid w:val="FFFFFF7C"/>
    <w:multiLevelType w:val="singleLevel"/>
    <w:tmpl w:val="13364E46"/>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98B84E60"/>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DC0091C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854E9CD4"/>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5B8A51E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73448C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78E12B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71E181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1268E2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4C666818"/>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singleLevel"/>
    <w:tmpl w:val="00000001"/>
    <w:name w:val="WW8Num1"/>
    <w:lvl w:ilvl="0">
      <w:start w:val="1"/>
      <w:numFmt w:val="bullet"/>
      <w:lvlText w:val=""/>
      <w:lvlJc w:val="left"/>
      <w:pPr>
        <w:tabs>
          <w:tab w:val="num" w:pos="0"/>
        </w:tabs>
        <w:ind w:left="784" w:hanging="360"/>
      </w:pPr>
      <w:rPr>
        <w:rFonts w:ascii="Wingdings" w:hAnsi="Wingdings"/>
      </w:rPr>
    </w:lvl>
  </w:abstractNum>
  <w:abstractNum w:abstractNumId="11">
    <w:nsid w:val="00000002"/>
    <w:multiLevelType w:val="multilevel"/>
    <w:tmpl w:val="00000002"/>
    <w:name w:val="WW8Num6"/>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2">
    <w:nsid w:val="00000003"/>
    <w:multiLevelType w:val="multilevel"/>
    <w:tmpl w:val="00000003"/>
    <w:name w:val="WW8Num7"/>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3">
    <w:nsid w:val="00000004"/>
    <w:multiLevelType w:val="multilevel"/>
    <w:tmpl w:val="00000004"/>
    <w:name w:val="WW8Num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4">
    <w:nsid w:val="00000005"/>
    <w:multiLevelType w:val="singleLevel"/>
    <w:tmpl w:val="00000005"/>
    <w:name w:val="WW8Num11"/>
    <w:lvl w:ilvl="0">
      <w:start w:val="1"/>
      <w:numFmt w:val="bullet"/>
      <w:lvlText w:val=""/>
      <w:lvlJc w:val="left"/>
      <w:pPr>
        <w:tabs>
          <w:tab w:val="num" w:pos="0"/>
        </w:tabs>
        <w:ind w:left="720" w:hanging="360"/>
      </w:pPr>
      <w:rPr>
        <w:rFonts w:ascii="Wingdings" w:hAnsi="Wingdings"/>
      </w:rPr>
    </w:lvl>
  </w:abstractNum>
  <w:abstractNum w:abstractNumId="15">
    <w:nsid w:val="00000006"/>
    <w:multiLevelType w:val="singleLevel"/>
    <w:tmpl w:val="00000006"/>
    <w:name w:val="WW8Num12"/>
    <w:lvl w:ilvl="0">
      <w:start w:val="1"/>
      <w:numFmt w:val="bullet"/>
      <w:lvlText w:val=""/>
      <w:lvlJc w:val="left"/>
      <w:pPr>
        <w:tabs>
          <w:tab w:val="num" w:pos="0"/>
        </w:tabs>
        <w:ind w:left="720" w:hanging="360"/>
      </w:pPr>
      <w:rPr>
        <w:rFonts w:ascii="Wingdings" w:hAnsi="Wingdings"/>
      </w:rPr>
    </w:lvl>
  </w:abstractNum>
  <w:abstractNum w:abstractNumId="16">
    <w:nsid w:val="00000007"/>
    <w:multiLevelType w:val="multilevel"/>
    <w:tmpl w:val="00000007"/>
    <w:name w:val="WW8Num1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7">
    <w:nsid w:val="00000008"/>
    <w:multiLevelType w:val="multilevel"/>
    <w:tmpl w:val="00000008"/>
    <w:name w:val="WW8Num15"/>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8">
    <w:nsid w:val="00000009"/>
    <w:multiLevelType w:val="singleLevel"/>
    <w:tmpl w:val="00000009"/>
    <w:name w:val="WW8Num18"/>
    <w:lvl w:ilvl="0">
      <w:start w:val="1"/>
      <w:numFmt w:val="bullet"/>
      <w:lvlText w:val=""/>
      <w:lvlJc w:val="left"/>
      <w:pPr>
        <w:tabs>
          <w:tab w:val="num" w:pos="0"/>
        </w:tabs>
        <w:ind w:left="720" w:hanging="360"/>
      </w:pPr>
      <w:rPr>
        <w:rFonts w:ascii="Wingdings" w:hAnsi="Wingdings"/>
      </w:rPr>
    </w:lvl>
  </w:abstractNum>
  <w:abstractNum w:abstractNumId="19">
    <w:nsid w:val="0000000A"/>
    <w:multiLevelType w:val="multilevel"/>
    <w:tmpl w:val="0000000A"/>
    <w:name w:val="WW8Num2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20">
    <w:nsid w:val="0000000B"/>
    <w:multiLevelType w:val="singleLevel"/>
    <w:tmpl w:val="0000000B"/>
    <w:name w:val="WW8Num23"/>
    <w:lvl w:ilvl="0">
      <w:start w:val="1"/>
      <w:numFmt w:val="bullet"/>
      <w:lvlText w:val=""/>
      <w:lvlJc w:val="left"/>
      <w:pPr>
        <w:tabs>
          <w:tab w:val="num" w:pos="720"/>
        </w:tabs>
        <w:ind w:left="720" w:hanging="360"/>
      </w:pPr>
      <w:rPr>
        <w:rFonts w:ascii="Wingdings" w:hAnsi="Wingdings"/>
      </w:rPr>
    </w:lvl>
  </w:abstractNum>
  <w:abstractNum w:abstractNumId="21">
    <w:nsid w:val="0BAF7132"/>
    <w:multiLevelType w:val="hybridMultilevel"/>
    <w:tmpl w:val="53F8D8A2"/>
    <w:lvl w:ilvl="0" w:tplc="B622B542">
      <w:start w:val="1"/>
      <w:numFmt w:val="decimal"/>
      <w:lvlText w:val="%1."/>
      <w:lvlJc w:val="left"/>
      <w:pPr>
        <w:ind w:left="360" w:hanging="360"/>
      </w:pPr>
      <w:rPr>
        <w:rFonts w:cs="Times New Roman"/>
        <w:b w:val="0"/>
      </w:rPr>
    </w:lvl>
    <w:lvl w:ilvl="1" w:tplc="440A0019">
      <w:start w:val="1"/>
      <w:numFmt w:val="decimal"/>
      <w:lvlText w:val="%2."/>
      <w:lvlJc w:val="left"/>
      <w:pPr>
        <w:tabs>
          <w:tab w:val="num" w:pos="1440"/>
        </w:tabs>
        <w:ind w:left="1440" w:hanging="360"/>
      </w:pPr>
      <w:rPr>
        <w:rFonts w:cs="Times New Roman"/>
      </w:rPr>
    </w:lvl>
    <w:lvl w:ilvl="2" w:tplc="440A001B">
      <w:start w:val="1"/>
      <w:numFmt w:val="decimal"/>
      <w:lvlText w:val="%3."/>
      <w:lvlJc w:val="left"/>
      <w:pPr>
        <w:tabs>
          <w:tab w:val="num" w:pos="2160"/>
        </w:tabs>
        <w:ind w:left="2160" w:hanging="360"/>
      </w:pPr>
      <w:rPr>
        <w:rFonts w:cs="Times New Roman"/>
      </w:rPr>
    </w:lvl>
    <w:lvl w:ilvl="3" w:tplc="440A000F">
      <w:start w:val="1"/>
      <w:numFmt w:val="decimal"/>
      <w:lvlText w:val="%4."/>
      <w:lvlJc w:val="left"/>
      <w:pPr>
        <w:tabs>
          <w:tab w:val="num" w:pos="2880"/>
        </w:tabs>
        <w:ind w:left="2880" w:hanging="360"/>
      </w:pPr>
      <w:rPr>
        <w:rFonts w:cs="Times New Roman"/>
      </w:rPr>
    </w:lvl>
    <w:lvl w:ilvl="4" w:tplc="440A0019">
      <w:start w:val="1"/>
      <w:numFmt w:val="decimal"/>
      <w:lvlText w:val="%5."/>
      <w:lvlJc w:val="left"/>
      <w:pPr>
        <w:tabs>
          <w:tab w:val="num" w:pos="3600"/>
        </w:tabs>
        <w:ind w:left="3600" w:hanging="360"/>
      </w:pPr>
      <w:rPr>
        <w:rFonts w:cs="Times New Roman"/>
      </w:rPr>
    </w:lvl>
    <w:lvl w:ilvl="5" w:tplc="440A001B">
      <w:start w:val="1"/>
      <w:numFmt w:val="decimal"/>
      <w:lvlText w:val="%6."/>
      <w:lvlJc w:val="left"/>
      <w:pPr>
        <w:tabs>
          <w:tab w:val="num" w:pos="4320"/>
        </w:tabs>
        <w:ind w:left="4320" w:hanging="360"/>
      </w:pPr>
      <w:rPr>
        <w:rFonts w:cs="Times New Roman"/>
      </w:rPr>
    </w:lvl>
    <w:lvl w:ilvl="6" w:tplc="440A000F">
      <w:start w:val="1"/>
      <w:numFmt w:val="decimal"/>
      <w:lvlText w:val="%7."/>
      <w:lvlJc w:val="left"/>
      <w:pPr>
        <w:tabs>
          <w:tab w:val="num" w:pos="5040"/>
        </w:tabs>
        <w:ind w:left="5040" w:hanging="360"/>
      </w:pPr>
      <w:rPr>
        <w:rFonts w:cs="Times New Roman"/>
      </w:rPr>
    </w:lvl>
    <w:lvl w:ilvl="7" w:tplc="440A0019">
      <w:start w:val="1"/>
      <w:numFmt w:val="decimal"/>
      <w:lvlText w:val="%8."/>
      <w:lvlJc w:val="left"/>
      <w:pPr>
        <w:tabs>
          <w:tab w:val="num" w:pos="5760"/>
        </w:tabs>
        <w:ind w:left="5760" w:hanging="360"/>
      </w:pPr>
      <w:rPr>
        <w:rFonts w:cs="Times New Roman"/>
      </w:rPr>
    </w:lvl>
    <w:lvl w:ilvl="8" w:tplc="440A001B">
      <w:start w:val="1"/>
      <w:numFmt w:val="decimal"/>
      <w:lvlText w:val="%9."/>
      <w:lvlJc w:val="left"/>
      <w:pPr>
        <w:tabs>
          <w:tab w:val="num" w:pos="6480"/>
        </w:tabs>
        <w:ind w:left="6480" w:hanging="360"/>
      </w:pPr>
      <w:rPr>
        <w:rFonts w:cs="Times New Roman"/>
      </w:rPr>
    </w:lvl>
  </w:abstractNum>
  <w:abstractNum w:abstractNumId="22">
    <w:nsid w:val="17B70C5D"/>
    <w:multiLevelType w:val="hybridMultilevel"/>
    <w:tmpl w:val="E7BE2778"/>
    <w:lvl w:ilvl="0" w:tplc="440A0007">
      <w:start w:val="1"/>
      <w:numFmt w:val="bullet"/>
      <w:lvlText w:val=""/>
      <w:lvlPicBulletId w:val="0"/>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1BE30A99"/>
    <w:multiLevelType w:val="multilevel"/>
    <w:tmpl w:val="651C4F0E"/>
    <w:lvl w:ilvl="0">
      <w:start w:val="1"/>
      <w:numFmt w:val="decimal"/>
      <w:lvlText w:val="%1"/>
      <w:lvlJc w:val="left"/>
      <w:pPr>
        <w:ind w:left="480" w:hanging="480"/>
      </w:pPr>
      <w:rPr>
        <w:rFonts w:cs="Times New Roman"/>
      </w:rPr>
    </w:lvl>
    <w:lvl w:ilvl="1">
      <w:start w:val="1"/>
      <w:numFmt w:val="decimal"/>
      <w:lvlText w:val="%1.%2"/>
      <w:lvlJc w:val="left"/>
      <w:pPr>
        <w:ind w:left="480" w:hanging="480"/>
      </w:pPr>
      <w:rPr>
        <w:rFonts w:cs="Times New Roman"/>
      </w:rPr>
    </w:lvl>
    <w:lvl w:ilvl="2">
      <w:start w:val="5"/>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24">
    <w:nsid w:val="263D2668"/>
    <w:multiLevelType w:val="multilevel"/>
    <w:tmpl w:val="47E827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5">
    <w:nsid w:val="2F121165"/>
    <w:multiLevelType w:val="multilevel"/>
    <w:tmpl w:val="E9785A88"/>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6">
    <w:nsid w:val="30BC4817"/>
    <w:multiLevelType w:val="hybridMultilevel"/>
    <w:tmpl w:val="8EE43106"/>
    <w:lvl w:ilvl="0" w:tplc="9BFA36B0">
      <w:start w:val="3"/>
      <w:numFmt w:val="decimal"/>
      <w:lvlText w:val="%1-"/>
      <w:lvlJc w:val="left"/>
      <w:pPr>
        <w:ind w:left="1364" w:hanging="360"/>
      </w:pPr>
      <w:rPr>
        <w:rFonts w:cs="Times New Roman"/>
      </w:rPr>
    </w:lvl>
    <w:lvl w:ilvl="1" w:tplc="440A0019">
      <w:start w:val="1"/>
      <w:numFmt w:val="decimal"/>
      <w:lvlText w:val="%2."/>
      <w:lvlJc w:val="left"/>
      <w:pPr>
        <w:tabs>
          <w:tab w:val="num" w:pos="1440"/>
        </w:tabs>
        <w:ind w:left="1440" w:hanging="360"/>
      </w:pPr>
      <w:rPr>
        <w:rFonts w:cs="Times New Roman"/>
      </w:rPr>
    </w:lvl>
    <w:lvl w:ilvl="2" w:tplc="440A001B">
      <w:start w:val="1"/>
      <w:numFmt w:val="decimal"/>
      <w:lvlText w:val="%3."/>
      <w:lvlJc w:val="left"/>
      <w:pPr>
        <w:tabs>
          <w:tab w:val="num" w:pos="2160"/>
        </w:tabs>
        <w:ind w:left="2160" w:hanging="360"/>
      </w:pPr>
      <w:rPr>
        <w:rFonts w:cs="Times New Roman"/>
      </w:rPr>
    </w:lvl>
    <w:lvl w:ilvl="3" w:tplc="440A000F">
      <w:start w:val="1"/>
      <w:numFmt w:val="decimal"/>
      <w:lvlText w:val="%4."/>
      <w:lvlJc w:val="left"/>
      <w:pPr>
        <w:tabs>
          <w:tab w:val="num" w:pos="2880"/>
        </w:tabs>
        <w:ind w:left="2880" w:hanging="360"/>
      </w:pPr>
      <w:rPr>
        <w:rFonts w:cs="Times New Roman"/>
      </w:rPr>
    </w:lvl>
    <w:lvl w:ilvl="4" w:tplc="440A0019">
      <w:start w:val="1"/>
      <w:numFmt w:val="decimal"/>
      <w:lvlText w:val="%5."/>
      <w:lvlJc w:val="left"/>
      <w:pPr>
        <w:tabs>
          <w:tab w:val="num" w:pos="3600"/>
        </w:tabs>
        <w:ind w:left="3600" w:hanging="360"/>
      </w:pPr>
      <w:rPr>
        <w:rFonts w:cs="Times New Roman"/>
      </w:rPr>
    </w:lvl>
    <w:lvl w:ilvl="5" w:tplc="440A001B">
      <w:start w:val="1"/>
      <w:numFmt w:val="decimal"/>
      <w:lvlText w:val="%6."/>
      <w:lvlJc w:val="left"/>
      <w:pPr>
        <w:tabs>
          <w:tab w:val="num" w:pos="4320"/>
        </w:tabs>
        <w:ind w:left="4320" w:hanging="360"/>
      </w:pPr>
      <w:rPr>
        <w:rFonts w:cs="Times New Roman"/>
      </w:rPr>
    </w:lvl>
    <w:lvl w:ilvl="6" w:tplc="440A000F">
      <w:start w:val="1"/>
      <w:numFmt w:val="decimal"/>
      <w:lvlText w:val="%7."/>
      <w:lvlJc w:val="left"/>
      <w:pPr>
        <w:tabs>
          <w:tab w:val="num" w:pos="5040"/>
        </w:tabs>
        <w:ind w:left="5040" w:hanging="360"/>
      </w:pPr>
      <w:rPr>
        <w:rFonts w:cs="Times New Roman"/>
      </w:rPr>
    </w:lvl>
    <w:lvl w:ilvl="7" w:tplc="440A0019">
      <w:start w:val="1"/>
      <w:numFmt w:val="decimal"/>
      <w:lvlText w:val="%8."/>
      <w:lvlJc w:val="left"/>
      <w:pPr>
        <w:tabs>
          <w:tab w:val="num" w:pos="5760"/>
        </w:tabs>
        <w:ind w:left="5760" w:hanging="360"/>
      </w:pPr>
      <w:rPr>
        <w:rFonts w:cs="Times New Roman"/>
      </w:rPr>
    </w:lvl>
    <w:lvl w:ilvl="8" w:tplc="440A001B">
      <w:start w:val="1"/>
      <w:numFmt w:val="decimal"/>
      <w:lvlText w:val="%9."/>
      <w:lvlJc w:val="left"/>
      <w:pPr>
        <w:tabs>
          <w:tab w:val="num" w:pos="6480"/>
        </w:tabs>
        <w:ind w:left="6480" w:hanging="360"/>
      </w:pPr>
      <w:rPr>
        <w:rFonts w:cs="Times New Roman"/>
      </w:rPr>
    </w:lvl>
  </w:abstractNum>
  <w:abstractNum w:abstractNumId="27">
    <w:nsid w:val="32A8132D"/>
    <w:multiLevelType w:val="hybridMultilevel"/>
    <w:tmpl w:val="DB42FE96"/>
    <w:lvl w:ilvl="0" w:tplc="0C0A0001">
      <w:start w:val="1"/>
      <w:numFmt w:val="bullet"/>
      <w:lvlText w:val=""/>
      <w:lvlJc w:val="left"/>
      <w:pPr>
        <w:ind w:left="720" w:hanging="360"/>
      </w:pPr>
      <w:rPr>
        <w:rFonts w:ascii="Symbol" w:hAnsi="Symbol" w:hint="default"/>
      </w:rPr>
    </w:lvl>
    <w:lvl w:ilvl="1" w:tplc="040A0001">
      <w:start w:val="1"/>
      <w:numFmt w:val="bullet"/>
      <w:lvlText w:val=""/>
      <w:lvlJc w:val="left"/>
      <w:pPr>
        <w:tabs>
          <w:tab w:val="num" w:pos="1440"/>
        </w:tabs>
        <w:ind w:left="1440" w:hanging="360"/>
      </w:pPr>
      <w:rPr>
        <w:rFonts w:ascii="Symbol" w:hAnsi="Symbol" w:hint="default"/>
      </w:rPr>
    </w:lvl>
    <w:lvl w:ilvl="2" w:tplc="0C0A0005">
      <w:start w:val="1"/>
      <w:numFmt w:val="decimal"/>
      <w:lvlText w:val="%3."/>
      <w:lvlJc w:val="left"/>
      <w:pPr>
        <w:tabs>
          <w:tab w:val="num" w:pos="2160"/>
        </w:tabs>
        <w:ind w:left="2160" w:hanging="360"/>
      </w:pPr>
      <w:rPr>
        <w:rFonts w:cs="Times New Roman"/>
      </w:rPr>
    </w:lvl>
    <w:lvl w:ilvl="3" w:tplc="0C0A0001">
      <w:start w:val="1"/>
      <w:numFmt w:val="bullet"/>
      <w:lvlText w:val=""/>
      <w:lvlJc w:val="left"/>
      <w:pPr>
        <w:ind w:left="2880" w:hanging="360"/>
      </w:pPr>
      <w:rPr>
        <w:rFonts w:ascii="Symbol" w:hAnsi="Symbol" w:hint="default"/>
      </w:rPr>
    </w:lvl>
    <w:lvl w:ilvl="4" w:tplc="0C0A0003">
      <w:start w:val="1"/>
      <w:numFmt w:val="decimal"/>
      <w:lvlText w:val="%5."/>
      <w:lvlJc w:val="left"/>
      <w:pPr>
        <w:tabs>
          <w:tab w:val="num" w:pos="3600"/>
        </w:tabs>
        <w:ind w:left="3600" w:hanging="360"/>
      </w:pPr>
      <w:rPr>
        <w:rFonts w:cs="Times New Roman"/>
      </w:rPr>
    </w:lvl>
    <w:lvl w:ilvl="5" w:tplc="0C0A0005">
      <w:start w:val="1"/>
      <w:numFmt w:val="decimal"/>
      <w:lvlText w:val="%6."/>
      <w:lvlJc w:val="left"/>
      <w:pPr>
        <w:tabs>
          <w:tab w:val="num" w:pos="4320"/>
        </w:tabs>
        <w:ind w:left="4320" w:hanging="360"/>
      </w:pPr>
      <w:rPr>
        <w:rFonts w:cs="Times New Roman"/>
      </w:rPr>
    </w:lvl>
    <w:lvl w:ilvl="6" w:tplc="0C0A0001">
      <w:start w:val="1"/>
      <w:numFmt w:val="decimal"/>
      <w:lvlText w:val="%7."/>
      <w:lvlJc w:val="left"/>
      <w:pPr>
        <w:tabs>
          <w:tab w:val="num" w:pos="5040"/>
        </w:tabs>
        <w:ind w:left="5040" w:hanging="360"/>
      </w:pPr>
      <w:rPr>
        <w:rFonts w:cs="Times New Roman"/>
      </w:rPr>
    </w:lvl>
    <w:lvl w:ilvl="7" w:tplc="0C0A0003">
      <w:start w:val="1"/>
      <w:numFmt w:val="decimal"/>
      <w:lvlText w:val="%8."/>
      <w:lvlJc w:val="left"/>
      <w:pPr>
        <w:tabs>
          <w:tab w:val="num" w:pos="5760"/>
        </w:tabs>
        <w:ind w:left="5760" w:hanging="360"/>
      </w:pPr>
      <w:rPr>
        <w:rFonts w:cs="Times New Roman"/>
      </w:rPr>
    </w:lvl>
    <w:lvl w:ilvl="8" w:tplc="0C0A0005">
      <w:start w:val="1"/>
      <w:numFmt w:val="decimal"/>
      <w:lvlText w:val="%9."/>
      <w:lvlJc w:val="left"/>
      <w:pPr>
        <w:tabs>
          <w:tab w:val="num" w:pos="6480"/>
        </w:tabs>
        <w:ind w:left="6480" w:hanging="360"/>
      </w:pPr>
      <w:rPr>
        <w:rFonts w:cs="Times New Roman"/>
      </w:rPr>
    </w:lvl>
  </w:abstractNum>
  <w:abstractNum w:abstractNumId="28">
    <w:nsid w:val="42AC00E8"/>
    <w:multiLevelType w:val="hybridMultilevel"/>
    <w:tmpl w:val="AEE63CEC"/>
    <w:lvl w:ilvl="0" w:tplc="B622B542">
      <w:start w:val="1"/>
      <w:numFmt w:val="decimal"/>
      <w:lvlText w:val="%1."/>
      <w:lvlJc w:val="left"/>
      <w:pPr>
        <w:ind w:left="360" w:hanging="360"/>
      </w:pPr>
      <w:rPr>
        <w:rFonts w:cs="Times New Roman"/>
        <w:b w:val="0"/>
      </w:rPr>
    </w:lvl>
    <w:lvl w:ilvl="1" w:tplc="440A0019">
      <w:start w:val="1"/>
      <w:numFmt w:val="decimal"/>
      <w:lvlText w:val="%2."/>
      <w:lvlJc w:val="left"/>
      <w:pPr>
        <w:tabs>
          <w:tab w:val="num" w:pos="1440"/>
        </w:tabs>
        <w:ind w:left="1440" w:hanging="360"/>
      </w:pPr>
      <w:rPr>
        <w:rFonts w:cs="Times New Roman"/>
      </w:rPr>
    </w:lvl>
    <w:lvl w:ilvl="2" w:tplc="440A001B">
      <w:start w:val="1"/>
      <w:numFmt w:val="decimal"/>
      <w:lvlText w:val="%3."/>
      <w:lvlJc w:val="left"/>
      <w:pPr>
        <w:tabs>
          <w:tab w:val="num" w:pos="2160"/>
        </w:tabs>
        <w:ind w:left="2160" w:hanging="360"/>
      </w:pPr>
      <w:rPr>
        <w:rFonts w:cs="Times New Roman"/>
      </w:rPr>
    </w:lvl>
    <w:lvl w:ilvl="3" w:tplc="440A000F">
      <w:start w:val="1"/>
      <w:numFmt w:val="decimal"/>
      <w:lvlText w:val="%4."/>
      <w:lvlJc w:val="left"/>
      <w:pPr>
        <w:tabs>
          <w:tab w:val="num" w:pos="2880"/>
        </w:tabs>
        <w:ind w:left="2880" w:hanging="360"/>
      </w:pPr>
      <w:rPr>
        <w:rFonts w:cs="Times New Roman"/>
      </w:rPr>
    </w:lvl>
    <w:lvl w:ilvl="4" w:tplc="440A0019">
      <w:start w:val="1"/>
      <w:numFmt w:val="decimal"/>
      <w:lvlText w:val="%5."/>
      <w:lvlJc w:val="left"/>
      <w:pPr>
        <w:tabs>
          <w:tab w:val="num" w:pos="3600"/>
        </w:tabs>
        <w:ind w:left="3600" w:hanging="360"/>
      </w:pPr>
      <w:rPr>
        <w:rFonts w:cs="Times New Roman"/>
      </w:rPr>
    </w:lvl>
    <w:lvl w:ilvl="5" w:tplc="440A001B">
      <w:start w:val="1"/>
      <w:numFmt w:val="decimal"/>
      <w:lvlText w:val="%6."/>
      <w:lvlJc w:val="left"/>
      <w:pPr>
        <w:tabs>
          <w:tab w:val="num" w:pos="4320"/>
        </w:tabs>
        <w:ind w:left="4320" w:hanging="360"/>
      </w:pPr>
      <w:rPr>
        <w:rFonts w:cs="Times New Roman"/>
      </w:rPr>
    </w:lvl>
    <w:lvl w:ilvl="6" w:tplc="440A000F">
      <w:start w:val="1"/>
      <w:numFmt w:val="decimal"/>
      <w:lvlText w:val="%7."/>
      <w:lvlJc w:val="left"/>
      <w:pPr>
        <w:tabs>
          <w:tab w:val="num" w:pos="5040"/>
        </w:tabs>
        <w:ind w:left="5040" w:hanging="360"/>
      </w:pPr>
      <w:rPr>
        <w:rFonts w:cs="Times New Roman"/>
      </w:rPr>
    </w:lvl>
    <w:lvl w:ilvl="7" w:tplc="440A0019">
      <w:start w:val="1"/>
      <w:numFmt w:val="decimal"/>
      <w:lvlText w:val="%8."/>
      <w:lvlJc w:val="left"/>
      <w:pPr>
        <w:tabs>
          <w:tab w:val="num" w:pos="5760"/>
        </w:tabs>
        <w:ind w:left="5760" w:hanging="360"/>
      </w:pPr>
      <w:rPr>
        <w:rFonts w:cs="Times New Roman"/>
      </w:rPr>
    </w:lvl>
    <w:lvl w:ilvl="8" w:tplc="440A001B">
      <w:start w:val="1"/>
      <w:numFmt w:val="decimal"/>
      <w:lvlText w:val="%9."/>
      <w:lvlJc w:val="left"/>
      <w:pPr>
        <w:tabs>
          <w:tab w:val="num" w:pos="6480"/>
        </w:tabs>
        <w:ind w:left="6480" w:hanging="360"/>
      </w:pPr>
      <w:rPr>
        <w:rFonts w:cs="Times New Roman"/>
      </w:rPr>
    </w:lvl>
  </w:abstractNum>
  <w:abstractNum w:abstractNumId="29">
    <w:nsid w:val="42DA5C26"/>
    <w:multiLevelType w:val="multilevel"/>
    <w:tmpl w:val="D0282232"/>
    <w:lvl w:ilvl="0">
      <w:start w:val="1"/>
      <w:numFmt w:val="decimal"/>
      <w:lvlText w:val="%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30">
    <w:nsid w:val="44A661AA"/>
    <w:multiLevelType w:val="hybridMultilevel"/>
    <w:tmpl w:val="F2BEEE98"/>
    <w:lvl w:ilvl="0" w:tplc="0C0A000F">
      <w:start w:val="1"/>
      <w:numFmt w:val="decimal"/>
      <w:lvlText w:val="%1."/>
      <w:lvlJc w:val="left"/>
      <w:pPr>
        <w:tabs>
          <w:tab w:val="num" w:pos="720"/>
        </w:tabs>
        <w:ind w:left="720" w:hanging="360"/>
      </w:pPr>
      <w:rPr>
        <w:rFonts w:cs="Times New Roman"/>
      </w:rPr>
    </w:lvl>
    <w:lvl w:ilvl="1" w:tplc="0C0A0019">
      <w:start w:val="1"/>
      <w:numFmt w:val="decimal"/>
      <w:lvlText w:val="%2."/>
      <w:lvlJc w:val="left"/>
      <w:pPr>
        <w:tabs>
          <w:tab w:val="num" w:pos="1440"/>
        </w:tabs>
        <w:ind w:left="1440" w:hanging="360"/>
      </w:pPr>
      <w:rPr>
        <w:rFonts w:cs="Times New Roman"/>
      </w:rPr>
    </w:lvl>
    <w:lvl w:ilvl="2" w:tplc="0C0A001B">
      <w:start w:val="1"/>
      <w:numFmt w:val="decimal"/>
      <w:lvlText w:val="%3."/>
      <w:lvlJc w:val="left"/>
      <w:pPr>
        <w:tabs>
          <w:tab w:val="num" w:pos="2160"/>
        </w:tabs>
        <w:ind w:left="2160" w:hanging="36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decimal"/>
      <w:lvlText w:val="%5."/>
      <w:lvlJc w:val="left"/>
      <w:pPr>
        <w:tabs>
          <w:tab w:val="num" w:pos="3600"/>
        </w:tabs>
        <w:ind w:left="3600" w:hanging="360"/>
      </w:pPr>
      <w:rPr>
        <w:rFonts w:cs="Times New Roman"/>
      </w:rPr>
    </w:lvl>
    <w:lvl w:ilvl="5" w:tplc="0C0A001B">
      <w:start w:val="1"/>
      <w:numFmt w:val="decimal"/>
      <w:lvlText w:val="%6."/>
      <w:lvlJc w:val="left"/>
      <w:pPr>
        <w:tabs>
          <w:tab w:val="num" w:pos="4320"/>
        </w:tabs>
        <w:ind w:left="4320" w:hanging="36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decimal"/>
      <w:lvlText w:val="%8."/>
      <w:lvlJc w:val="left"/>
      <w:pPr>
        <w:tabs>
          <w:tab w:val="num" w:pos="5760"/>
        </w:tabs>
        <w:ind w:left="5760" w:hanging="360"/>
      </w:pPr>
      <w:rPr>
        <w:rFonts w:cs="Times New Roman"/>
      </w:rPr>
    </w:lvl>
    <w:lvl w:ilvl="8" w:tplc="0C0A001B">
      <w:start w:val="1"/>
      <w:numFmt w:val="decimal"/>
      <w:lvlText w:val="%9."/>
      <w:lvlJc w:val="left"/>
      <w:pPr>
        <w:tabs>
          <w:tab w:val="num" w:pos="6480"/>
        </w:tabs>
        <w:ind w:left="6480" w:hanging="360"/>
      </w:pPr>
      <w:rPr>
        <w:rFonts w:cs="Times New Roman"/>
      </w:rPr>
    </w:lvl>
  </w:abstractNum>
  <w:abstractNum w:abstractNumId="31">
    <w:nsid w:val="45E651FD"/>
    <w:multiLevelType w:val="hybridMultilevel"/>
    <w:tmpl w:val="38160160"/>
    <w:lvl w:ilvl="0" w:tplc="080A000B">
      <w:start w:val="1"/>
      <w:numFmt w:val="bullet"/>
      <w:lvlText w:val=""/>
      <w:lvlJc w:val="left"/>
      <w:pPr>
        <w:ind w:left="644"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494C3FC1"/>
    <w:multiLevelType w:val="hybridMultilevel"/>
    <w:tmpl w:val="D1F2BB18"/>
    <w:lvl w:ilvl="0" w:tplc="440A000B">
      <w:start w:val="1"/>
      <w:numFmt w:val="bullet"/>
      <w:lvlText w:val=""/>
      <w:lvlJc w:val="left"/>
      <w:pPr>
        <w:ind w:left="720" w:hanging="360"/>
      </w:pPr>
      <w:rPr>
        <w:rFonts w:ascii="Wingdings" w:hAnsi="Wingdings" w:hint="default"/>
      </w:rPr>
    </w:lvl>
    <w:lvl w:ilvl="1" w:tplc="440A0003">
      <w:start w:val="1"/>
      <w:numFmt w:val="decimal"/>
      <w:lvlText w:val="%2."/>
      <w:lvlJc w:val="left"/>
      <w:pPr>
        <w:tabs>
          <w:tab w:val="num" w:pos="1440"/>
        </w:tabs>
        <w:ind w:left="1440" w:hanging="360"/>
      </w:pPr>
      <w:rPr>
        <w:rFonts w:cs="Times New Roman"/>
      </w:rPr>
    </w:lvl>
    <w:lvl w:ilvl="2" w:tplc="440A0005">
      <w:start w:val="1"/>
      <w:numFmt w:val="decimal"/>
      <w:lvlText w:val="%3."/>
      <w:lvlJc w:val="left"/>
      <w:pPr>
        <w:tabs>
          <w:tab w:val="num" w:pos="2160"/>
        </w:tabs>
        <w:ind w:left="2160" w:hanging="360"/>
      </w:pPr>
      <w:rPr>
        <w:rFonts w:cs="Times New Roman"/>
      </w:rPr>
    </w:lvl>
    <w:lvl w:ilvl="3" w:tplc="440A0001">
      <w:start w:val="1"/>
      <w:numFmt w:val="decimal"/>
      <w:lvlText w:val="%4."/>
      <w:lvlJc w:val="left"/>
      <w:pPr>
        <w:tabs>
          <w:tab w:val="num" w:pos="2880"/>
        </w:tabs>
        <w:ind w:left="2880" w:hanging="360"/>
      </w:pPr>
      <w:rPr>
        <w:rFonts w:cs="Times New Roman"/>
      </w:rPr>
    </w:lvl>
    <w:lvl w:ilvl="4" w:tplc="440A0003">
      <w:start w:val="1"/>
      <w:numFmt w:val="decimal"/>
      <w:lvlText w:val="%5."/>
      <w:lvlJc w:val="left"/>
      <w:pPr>
        <w:tabs>
          <w:tab w:val="num" w:pos="3600"/>
        </w:tabs>
        <w:ind w:left="3600" w:hanging="360"/>
      </w:pPr>
      <w:rPr>
        <w:rFonts w:cs="Times New Roman"/>
      </w:rPr>
    </w:lvl>
    <w:lvl w:ilvl="5" w:tplc="440A0005">
      <w:start w:val="1"/>
      <w:numFmt w:val="decimal"/>
      <w:lvlText w:val="%6."/>
      <w:lvlJc w:val="left"/>
      <w:pPr>
        <w:tabs>
          <w:tab w:val="num" w:pos="4320"/>
        </w:tabs>
        <w:ind w:left="4320" w:hanging="360"/>
      </w:pPr>
      <w:rPr>
        <w:rFonts w:cs="Times New Roman"/>
      </w:rPr>
    </w:lvl>
    <w:lvl w:ilvl="6" w:tplc="440A0001">
      <w:start w:val="1"/>
      <w:numFmt w:val="decimal"/>
      <w:lvlText w:val="%7."/>
      <w:lvlJc w:val="left"/>
      <w:pPr>
        <w:tabs>
          <w:tab w:val="num" w:pos="5040"/>
        </w:tabs>
        <w:ind w:left="5040" w:hanging="360"/>
      </w:pPr>
      <w:rPr>
        <w:rFonts w:cs="Times New Roman"/>
      </w:rPr>
    </w:lvl>
    <w:lvl w:ilvl="7" w:tplc="440A0003">
      <w:start w:val="1"/>
      <w:numFmt w:val="decimal"/>
      <w:lvlText w:val="%8."/>
      <w:lvlJc w:val="left"/>
      <w:pPr>
        <w:tabs>
          <w:tab w:val="num" w:pos="5760"/>
        </w:tabs>
        <w:ind w:left="5760" w:hanging="360"/>
      </w:pPr>
      <w:rPr>
        <w:rFonts w:cs="Times New Roman"/>
      </w:rPr>
    </w:lvl>
    <w:lvl w:ilvl="8" w:tplc="440A0005">
      <w:start w:val="1"/>
      <w:numFmt w:val="decimal"/>
      <w:lvlText w:val="%9."/>
      <w:lvlJc w:val="left"/>
      <w:pPr>
        <w:tabs>
          <w:tab w:val="num" w:pos="6480"/>
        </w:tabs>
        <w:ind w:left="6480" w:hanging="360"/>
      </w:pPr>
      <w:rPr>
        <w:rFonts w:cs="Times New Roman"/>
      </w:rPr>
    </w:lvl>
  </w:abstractNum>
  <w:abstractNum w:abstractNumId="33">
    <w:nsid w:val="49A86C8F"/>
    <w:multiLevelType w:val="hybridMultilevel"/>
    <w:tmpl w:val="AEBCF8BC"/>
    <w:lvl w:ilvl="0" w:tplc="440A0001">
      <w:start w:val="1"/>
      <w:numFmt w:val="bullet"/>
      <w:lvlText w:val=""/>
      <w:lvlJc w:val="left"/>
      <w:pPr>
        <w:ind w:left="720" w:hanging="360"/>
      </w:pPr>
      <w:rPr>
        <w:rFonts w:ascii="Symbol" w:hAnsi="Symbol" w:hint="default"/>
      </w:rPr>
    </w:lvl>
    <w:lvl w:ilvl="1" w:tplc="440A0003">
      <w:start w:val="1"/>
      <w:numFmt w:val="decimal"/>
      <w:lvlText w:val="%2."/>
      <w:lvlJc w:val="left"/>
      <w:pPr>
        <w:tabs>
          <w:tab w:val="num" w:pos="1440"/>
        </w:tabs>
        <w:ind w:left="1440" w:hanging="360"/>
      </w:pPr>
      <w:rPr>
        <w:rFonts w:cs="Times New Roman"/>
      </w:rPr>
    </w:lvl>
    <w:lvl w:ilvl="2" w:tplc="440A0005">
      <w:start w:val="1"/>
      <w:numFmt w:val="decimal"/>
      <w:lvlText w:val="%3."/>
      <w:lvlJc w:val="left"/>
      <w:pPr>
        <w:tabs>
          <w:tab w:val="num" w:pos="2160"/>
        </w:tabs>
        <w:ind w:left="2160" w:hanging="360"/>
      </w:pPr>
      <w:rPr>
        <w:rFonts w:cs="Times New Roman"/>
      </w:rPr>
    </w:lvl>
    <w:lvl w:ilvl="3" w:tplc="440A0001">
      <w:start w:val="1"/>
      <w:numFmt w:val="decimal"/>
      <w:lvlText w:val="%4."/>
      <w:lvlJc w:val="left"/>
      <w:pPr>
        <w:tabs>
          <w:tab w:val="num" w:pos="2880"/>
        </w:tabs>
        <w:ind w:left="2880" w:hanging="360"/>
      </w:pPr>
      <w:rPr>
        <w:rFonts w:cs="Times New Roman"/>
      </w:rPr>
    </w:lvl>
    <w:lvl w:ilvl="4" w:tplc="440A0003">
      <w:start w:val="1"/>
      <w:numFmt w:val="decimal"/>
      <w:lvlText w:val="%5."/>
      <w:lvlJc w:val="left"/>
      <w:pPr>
        <w:tabs>
          <w:tab w:val="num" w:pos="3600"/>
        </w:tabs>
        <w:ind w:left="3600" w:hanging="360"/>
      </w:pPr>
      <w:rPr>
        <w:rFonts w:cs="Times New Roman"/>
      </w:rPr>
    </w:lvl>
    <w:lvl w:ilvl="5" w:tplc="440A0005">
      <w:start w:val="1"/>
      <w:numFmt w:val="decimal"/>
      <w:lvlText w:val="%6."/>
      <w:lvlJc w:val="left"/>
      <w:pPr>
        <w:tabs>
          <w:tab w:val="num" w:pos="4320"/>
        </w:tabs>
        <w:ind w:left="4320" w:hanging="360"/>
      </w:pPr>
      <w:rPr>
        <w:rFonts w:cs="Times New Roman"/>
      </w:rPr>
    </w:lvl>
    <w:lvl w:ilvl="6" w:tplc="440A0001">
      <w:start w:val="1"/>
      <w:numFmt w:val="decimal"/>
      <w:lvlText w:val="%7."/>
      <w:lvlJc w:val="left"/>
      <w:pPr>
        <w:tabs>
          <w:tab w:val="num" w:pos="5040"/>
        </w:tabs>
        <w:ind w:left="5040" w:hanging="360"/>
      </w:pPr>
      <w:rPr>
        <w:rFonts w:cs="Times New Roman"/>
      </w:rPr>
    </w:lvl>
    <w:lvl w:ilvl="7" w:tplc="440A0003">
      <w:start w:val="1"/>
      <w:numFmt w:val="decimal"/>
      <w:lvlText w:val="%8."/>
      <w:lvlJc w:val="left"/>
      <w:pPr>
        <w:tabs>
          <w:tab w:val="num" w:pos="5760"/>
        </w:tabs>
        <w:ind w:left="5760" w:hanging="360"/>
      </w:pPr>
      <w:rPr>
        <w:rFonts w:cs="Times New Roman"/>
      </w:rPr>
    </w:lvl>
    <w:lvl w:ilvl="8" w:tplc="440A0005">
      <w:start w:val="1"/>
      <w:numFmt w:val="decimal"/>
      <w:lvlText w:val="%9."/>
      <w:lvlJc w:val="left"/>
      <w:pPr>
        <w:tabs>
          <w:tab w:val="num" w:pos="6480"/>
        </w:tabs>
        <w:ind w:left="6480" w:hanging="360"/>
      </w:pPr>
      <w:rPr>
        <w:rFonts w:cs="Times New Roman"/>
      </w:rPr>
    </w:lvl>
  </w:abstractNum>
  <w:abstractNum w:abstractNumId="34">
    <w:nsid w:val="5923664A"/>
    <w:multiLevelType w:val="multilevel"/>
    <w:tmpl w:val="11041080"/>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5">
    <w:nsid w:val="5D6F3659"/>
    <w:multiLevelType w:val="hybridMultilevel"/>
    <w:tmpl w:val="70004CAA"/>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rPr>
        <w:rFonts w:cs="Times New Roman"/>
      </w:rPr>
    </w:lvl>
    <w:lvl w:ilvl="2" w:tplc="0C0A0005">
      <w:start w:val="1"/>
      <w:numFmt w:val="decimal"/>
      <w:lvlText w:val="%3."/>
      <w:lvlJc w:val="left"/>
      <w:pPr>
        <w:tabs>
          <w:tab w:val="num" w:pos="2160"/>
        </w:tabs>
        <w:ind w:left="2160" w:hanging="360"/>
      </w:pPr>
      <w:rPr>
        <w:rFonts w:cs="Times New Roman"/>
      </w:rPr>
    </w:lvl>
    <w:lvl w:ilvl="3" w:tplc="0C0A0001">
      <w:start w:val="1"/>
      <w:numFmt w:val="decimal"/>
      <w:lvlText w:val="%4."/>
      <w:lvlJc w:val="left"/>
      <w:pPr>
        <w:tabs>
          <w:tab w:val="num" w:pos="2880"/>
        </w:tabs>
        <w:ind w:left="2880" w:hanging="360"/>
      </w:pPr>
      <w:rPr>
        <w:rFonts w:cs="Times New Roman"/>
      </w:rPr>
    </w:lvl>
    <w:lvl w:ilvl="4" w:tplc="0C0A0003">
      <w:start w:val="1"/>
      <w:numFmt w:val="decimal"/>
      <w:lvlText w:val="%5."/>
      <w:lvlJc w:val="left"/>
      <w:pPr>
        <w:tabs>
          <w:tab w:val="num" w:pos="3600"/>
        </w:tabs>
        <w:ind w:left="3600" w:hanging="360"/>
      </w:pPr>
      <w:rPr>
        <w:rFonts w:cs="Times New Roman"/>
      </w:rPr>
    </w:lvl>
    <w:lvl w:ilvl="5" w:tplc="0C0A0005">
      <w:start w:val="1"/>
      <w:numFmt w:val="decimal"/>
      <w:lvlText w:val="%6."/>
      <w:lvlJc w:val="left"/>
      <w:pPr>
        <w:tabs>
          <w:tab w:val="num" w:pos="4320"/>
        </w:tabs>
        <w:ind w:left="4320" w:hanging="360"/>
      </w:pPr>
      <w:rPr>
        <w:rFonts w:cs="Times New Roman"/>
      </w:rPr>
    </w:lvl>
    <w:lvl w:ilvl="6" w:tplc="0C0A0001">
      <w:start w:val="1"/>
      <w:numFmt w:val="decimal"/>
      <w:lvlText w:val="%7."/>
      <w:lvlJc w:val="left"/>
      <w:pPr>
        <w:tabs>
          <w:tab w:val="num" w:pos="5040"/>
        </w:tabs>
        <w:ind w:left="5040" w:hanging="360"/>
      </w:pPr>
      <w:rPr>
        <w:rFonts w:cs="Times New Roman"/>
      </w:rPr>
    </w:lvl>
    <w:lvl w:ilvl="7" w:tplc="0C0A0003">
      <w:start w:val="1"/>
      <w:numFmt w:val="decimal"/>
      <w:lvlText w:val="%8."/>
      <w:lvlJc w:val="left"/>
      <w:pPr>
        <w:tabs>
          <w:tab w:val="num" w:pos="5760"/>
        </w:tabs>
        <w:ind w:left="5760" w:hanging="360"/>
      </w:pPr>
      <w:rPr>
        <w:rFonts w:cs="Times New Roman"/>
      </w:rPr>
    </w:lvl>
    <w:lvl w:ilvl="8" w:tplc="0C0A0005">
      <w:start w:val="1"/>
      <w:numFmt w:val="decimal"/>
      <w:lvlText w:val="%9."/>
      <w:lvlJc w:val="left"/>
      <w:pPr>
        <w:tabs>
          <w:tab w:val="num" w:pos="6480"/>
        </w:tabs>
        <w:ind w:left="6480" w:hanging="360"/>
      </w:pPr>
      <w:rPr>
        <w:rFonts w:cs="Times New Roman"/>
      </w:rPr>
    </w:lvl>
  </w:abstractNum>
  <w:abstractNum w:abstractNumId="36">
    <w:nsid w:val="66B62340"/>
    <w:multiLevelType w:val="multilevel"/>
    <w:tmpl w:val="13143698"/>
    <w:lvl w:ilvl="0">
      <w:start w:val="1"/>
      <w:numFmt w:val="decimal"/>
      <w:lvlText w:val="%1"/>
      <w:lvlJc w:val="left"/>
      <w:pPr>
        <w:ind w:left="360" w:hanging="360"/>
      </w:pPr>
      <w:rPr>
        <w:rFonts w:cs="Times New Roman"/>
      </w:rPr>
    </w:lvl>
    <w:lvl w:ilvl="1">
      <w:start w:val="4"/>
      <w:numFmt w:val="decimal"/>
      <w:lvlText w:val="%1.%2"/>
      <w:lvlJc w:val="left"/>
      <w:pPr>
        <w:ind w:left="360" w:hanging="36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37">
    <w:nsid w:val="69355BCE"/>
    <w:multiLevelType w:val="hybridMultilevel"/>
    <w:tmpl w:val="731EA990"/>
    <w:lvl w:ilvl="0" w:tplc="440A0007">
      <w:start w:val="1"/>
      <w:numFmt w:val="bullet"/>
      <w:lvlText w:val=""/>
      <w:lvlPicBulletId w:val="0"/>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nsid w:val="6A964A82"/>
    <w:multiLevelType w:val="hybridMultilevel"/>
    <w:tmpl w:val="EDC43A58"/>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nsid w:val="76491EEF"/>
    <w:multiLevelType w:val="hybridMultilevel"/>
    <w:tmpl w:val="EB281E7E"/>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rPr>
        <w:rFonts w:cs="Times New Roman"/>
      </w:rPr>
    </w:lvl>
    <w:lvl w:ilvl="2" w:tplc="0C0A0005">
      <w:start w:val="1"/>
      <w:numFmt w:val="decimal"/>
      <w:lvlText w:val="%3."/>
      <w:lvlJc w:val="left"/>
      <w:pPr>
        <w:tabs>
          <w:tab w:val="num" w:pos="2160"/>
        </w:tabs>
        <w:ind w:left="2160" w:hanging="360"/>
      </w:pPr>
      <w:rPr>
        <w:rFonts w:cs="Times New Roman"/>
      </w:rPr>
    </w:lvl>
    <w:lvl w:ilvl="3" w:tplc="0C0A0001">
      <w:start w:val="1"/>
      <w:numFmt w:val="decimal"/>
      <w:lvlText w:val="%4."/>
      <w:lvlJc w:val="left"/>
      <w:pPr>
        <w:tabs>
          <w:tab w:val="num" w:pos="2880"/>
        </w:tabs>
        <w:ind w:left="2880" w:hanging="360"/>
      </w:pPr>
      <w:rPr>
        <w:rFonts w:cs="Times New Roman"/>
      </w:rPr>
    </w:lvl>
    <w:lvl w:ilvl="4" w:tplc="0C0A0003">
      <w:start w:val="1"/>
      <w:numFmt w:val="decimal"/>
      <w:lvlText w:val="%5."/>
      <w:lvlJc w:val="left"/>
      <w:pPr>
        <w:tabs>
          <w:tab w:val="num" w:pos="3600"/>
        </w:tabs>
        <w:ind w:left="3600" w:hanging="360"/>
      </w:pPr>
      <w:rPr>
        <w:rFonts w:cs="Times New Roman"/>
      </w:rPr>
    </w:lvl>
    <w:lvl w:ilvl="5" w:tplc="0C0A0005">
      <w:start w:val="1"/>
      <w:numFmt w:val="decimal"/>
      <w:lvlText w:val="%6."/>
      <w:lvlJc w:val="left"/>
      <w:pPr>
        <w:tabs>
          <w:tab w:val="num" w:pos="4320"/>
        </w:tabs>
        <w:ind w:left="4320" w:hanging="360"/>
      </w:pPr>
      <w:rPr>
        <w:rFonts w:cs="Times New Roman"/>
      </w:rPr>
    </w:lvl>
    <w:lvl w:ilvl="6" w:tplc="0C0A0001">
      <w:start w:val="1"/>
      <w:numFmt w:val="decimal"/>
      <w:lvlText w:val="%7."/>
      <w:lvlJc w:val="left"/>
      <w:pPr>
        <w:tabs>
          <w:tab w:val="num" w:pos="5040"/>
        </w:tabs>
        <w:ind w:left="5040" w:hanging="360"/>
      </w:pPr>
      <w:rPr>
        <w:rFonts w:cs="Times New Roman"/>
      </w:rPr>
    </w:lvl>
    <w:lvl w:ilvl="7" w:tplc="0C0A0003">
      <w:start w:val="1"/>
      <w:numFmt w:val="decimal"/>
      <w:lvlText w:val="%8."/>
      <w:lvlJc w:val="left"/>
      <w:pPr>
        <w:tabs>
          <w:tab w:val="num" w:pos="5760"/>
        </w:tabs>
        <w:ind w:left="5760" w:hanging="360"/>
      </w:pPr>
      <w:rPr>
        <w:rFonts w:cs="Times New Roman"/>
      </w:rPr>
    </w:lvl>
    <w:lvl w:ilvl="8" w:tplc="0C0A0005">
      <w:start w:val="1"/>
      <w:numFmt w:val="decimal"/>
      <w:lvlText w:val="%9."/>
      <w:lvlJc w:val="left"/>
      <w:pPr>
        <w:tabs>
          <w:tab w:val="num" w:pos="6480"/>
        </w:tabs>
        <w:ind w:left="6480" w:hanging="360"/>
      </w:pPr>
      <w:rPr>
        <w:rFonts w:cs="Times New Roman"/>
      </w:rPr>
    </w:lvl>
  </w:abstractNum>
  <w:abstractNum w:abstractNumId="40">
    <w:nsid w:val="7FBA49BE"/>
    <w:multiLevelType w:val="hybridMultilevel"/>
    <w:tmpl w:val="2C74AB72"/>
    <w:lvl w:ilvl="0" w:tplc="24A2E380">
      <w:start w:val="1"/>
      <w:numFmt w:val="decimal"/>
      <w:lvlText w:val="%1-"/>
      <w:lvlJc w:val="left"/>
      <w:pPr>
        <w:ind w:left="1004" w:hanging="360"/>
      </w:pPr>
      <w:rPr>
        <w:rFonts w:cs="Times New Roman"/>
      </w:rPr>
    </w:lvl>
    <w:lvl w:ilvl="1" w:tplc="440A0019">
      <w:start w:val="1"/>
      <w:numFmt w:val="decimal"/>
      <w:lvlText w:val="%2."/>
      <w:lvlJc w:val="left"/>
      <w:pPr>
        <w:tabs>
          <w:tab w:val="num" w:pos="1440"/>
        </w:tabs>
        <w:ind w:left="1440" w:hanging="360"/>
      </w:pPr>
      <w:rPr>
        <w:rFonts w:cs="Times New Roman"/>
      </w:rPr>
    </w:lvl>
    <w:lvl w:ilvl="2" w:tplc="440A001B">
      <w:start w:val="1"/>
      <w:numFmt w:val="decimal"/>
      <w:lvlText w:val="%3."/>
      <w:lvlJc w:val="left"/>
      <w:pPr>
        <w:tabs>
          <w:tab w:val="num" w:pos="2160"/>
        </w:tabs>
        <w:ind w:left="2160" w:hanging="360"/>
      </w:pPr>
      <w:rPr>
        <w:rFonts w:cs="Times New Roman"/>
      </w:rPr>
    </w:lvl>
    <w:lvl w:ilvl="3" w:tplc="440A000F">
      <w:start w:val="1"/>
      <w:numFmt w:val="decimal"/>
      <w:lvlText w:val="%4."/>
      <w:lvlJc w:val="left"/>
      <w:pPr>
        <w:tabs>
          <w:tab w:val="num" w:pos="2880"/>
        </w:tabs>
        <w:ind w:left="2880" w:hanging="360"/>
      </w:pPr>
      <w:rPr>
        <w:rFonts w:cs="Times New Roman"/>
      </w:rPr>
    </w:lvl>
    <w:lvl w:ilvl="4" w:tplc="440A0019">
      <w:start w:val="1"/>
      <w:numFmt w:val="decimal"/>
      <w:lvlText w:val="%5."/>
      <w:lvlJc w:val="left"/>
      <w:pPr>
        <w:tabs>
          <w:tab w:val="num" w:pos="3600"/>
        </w:tabs>
        <w:ind w:left="3600" w:hanging="360"/>
      </w:pPr>
      <w:rPr>
        <w:rFonts w:cs="Times New Roman"/>
      </w:rPr>
    </w:lvl>
    <w:lvl w:ilvl="5" w:tplc="440A001B">
      <w:start w:val="1"/>
      <w:numFmt w:val="decimal"/>
      <w:lvlText w:val="%6."/>
      <w:lvlJc w:val="left"/>
      <w:pPr>
        <w:tabs>
          <w:tab w:val="num" w:pos="4320"/>
        </w:tabs>
        <w:ind w:left="4320" w:hanging="360"/>
      </w:pPr>
      <w:rPr>
        <w:rFonts w:cs="Times New Roman"/>
      </w:rPr>
    </w:lvl>
    <w:lvl w:ilvl="6" w:tplc="440A000F">
      <w:start w:val="1"/>
      <w:numFmt w:val="decimal"/>
      <w:lvlText w:val="%7."/>
      <w:lvlJc w:val="left"/>
      <w:pPr>
        <w:tabs>
          <w:tab w:val="num" w:pos="5040"/>
        </w:tabs>
        <w:ind w:left="5040" w:hanging="360"/>
      </w:pPr>
      <w:rPr>
        <w:rFonts w:cs="Times New Roman"/>
      </w:rPr>
    </w:lvl>
    <w:lvl w:ilvl="7" w:tplc="440A0019">
      <w:start w:val="1"/>
      <w:numFmt w:val="decimal"/>
      <w:lvlText w:val="%8."/>
      <w:lvlJc w:val="left"/>
      <w:pPr>
        <w:tabs>
          <w:tab w:val="num" w:pos="5760"/>
        </w:tabs>
        <w:ind w:left="5760" w:hanging="360"/>
      </w:pPr>
      <w:rPr>
        <w:rFonts w:cs="Times New Roman"/>
      </w:rPr>
    </w:lvl>
    <w:lvl w:ilvl="8" w:tplc="440A001B">
      <w:start w:val="1"/>
      <w:numFmt w:val="decimal"/>
      <w:lvlText w:val="%9."/>
      <w:lvlJc w:val="left"/>
      <w:pPr>
        <w:tabs>
          <w:tab w:val="num" w:pos="6480"/>
        </w:tabs>
        <w:ind w:left="6480" w:hanging="360"/>
      </w:pPr>
      <w:rPr>
        <w:rFonts w:cs="Times New Roman"/>
      </w:rPr>
    </w:lvl>
  </w:abstractNum>
  <w:num w:numId="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lvlOverride w:ilvl="0"/>
    <w:lvlOverride w:ilvl="1"/>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lvlOverride w:ilvl="0">
      <w:startOverride w:val="1"/>
    </w:lvlOverride>
    <w:lvlOverride w:ilvl="1">
      <w:startOverride w:val="1"/>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6"/>
  </w:num>
  <w:num w:numId="17">
    <w:abstractNumId w:val="17"/>
  </w:num>
  <w:num w:numId="18">
    <w:abstractNumId w:val="19"/>
  </w:num>
  <w:num w:numId="19">
    <w:abstractNumId w:val="12"/>
  </w:num>
  <w:num w:numId="20">
    <w:abstractNumId w:val="13"/>
  </w:num>
  <w:num w:numId="21">
    <w:abstractNumId w:val="20"/>
  </w:num>
  <w:num w:numId="22">
    <w:abstractNumId w:val="15"/>
  </w:num>
  <w:num w:numId="23">
    <w:abstractNumId w:val="18"/>
  </w:num>
  <w:num w:numId="24">
    <w:abstractNumId w:val="10"/>
  </w:num>
  <w:num w:numId="25">
    <w:abstractNumId w:val="14"/>
  </w:num>
  <w:num w:numId="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8"/>
  </w:num>
  <w:num w:numId="29">
    <w:abstractNumId w:val="22"/>
  </w:num>
  <w:num w:numId="30">
    <w:abstractNumId w:val="37"/>
  </w:num>
  <w:num w:numId="31">
    <w:abstractNumId w:val="31"/>
  </w:num>
  <w:num w:numId="32">
    <w:abstractNumId w:val="8"/>
  </w:num>
  <w:num w:numId="33">
    <w:abstractNumId w:val="3"/>
  </w:num>
  <w:num w:numId="34">
    <w:abstractNumId w:val="2"/>
  </w:num>
  <w:num w:numId="35">
    <w:abstractNumId w:val="1"/>
  </w:num>
  <w:num w:numId="36">
    <w:abstractNumId w:val="0"/>
  </w:num>
  <w:num w:numId="37">
    <w:abstractNumId w:val="9"/>
  </w:num>
  <w:num w:numId="38">
    <w:abstractNumId w:val="7"/>
  </w:num>
  <w:num w:numId="39">
    <w:abstractNumId w:val="6"/>
  </w:num>
  <w:num w:numId="40">
    <w:abstractNumId w:val="5"/>
  </w:num>
  <w:num w:numId="4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footnotePr>
    <w:footnote w:id="-1"/>
    <w:footnote w:id="0"/>
  </w:footnotePr>
  <w:endnotePr>
    <w:endnote w:id="-1"/>
    <w:endnote w:id="0"/>
  </w:endnotePr>
  <w:compat/>
  <w:rsids>
    <w:rsidRoot w:val="0072382D"/>
    <w:rsid w:val="00007DC7"/>
    <w:rsid w:val="00015B2D"/>
    <w:rsid w:val="00036431"/>
    <w:rsid w:val="000417C0"/>
    <w:rsid w:val="00042EC2"/>
    <w:rsid w:val="00044A30"/>
    <w:rsid w:val="0006117F"/>
    <w:rsid w:val="000757E9"/>
    <w:rsid w:val="00075EA1"/>
    <w:rsid w:val="00076CAA"/>
    <w:rsid w:val="0009481B"/>
    <w:rsid w:val="00095E42"/>
    <w:rsid w:val="000B5710"/>
    <w:rsid w:val="000B7DD4"/>
    <w:rsid w:val="000C4E67"/>
    <w:rsid w:val="000C5982"/>
    <w:rsid w:val="000D0579"/>
    <w:rsid w:val="000D43D4"/>
    <w:rsid w:val="000D46A5"/>
    <w:rsid w:val="000F53D6"/>
    <w:rsid w:val="000F6772"/>
    <w:rsid w:val="001128EE"/>
    <w:rsid w:val="00116DF2"/>
    <w:rsid w:val="001235DD"/>
    <w:rsid w:val="001249E7"/>
    <w:rsid w:val="0012522B"/>
    <w:rsid w:val="00180961"/>
    <w:rsid w:val="00193ECB"/>
    <w:rsid w:val="00196AC9"/>
    <w:rsid w:val="00197AA0"/>
    <w:rsid w:val="001A1441"/>
    <w:rsid w:val="001A2A2B"/>
    <w:rsid w:val="001B0233"/>
    <w:rsid w:val="001B770F"/>
    <w:rsid w:val="001D633C"/>
    <w:rsid w:val="001D7573"/>
    <w:rsid w:val="001E781C"/>
    <w:rsid w:val="001F43D0"/>
    <w:rsid w:val="00201277"/>
    <w:rsid w:val="00206A39"/>
    <w:rsid w:val="00212357"/>
    <w:rsid w:val="00216EA8"/>
    <w:rsid w:val="00217C55"/>
    <w:rsid w:val="0022439F"/>
    <w:rsid w:val="00232C32"/>
    <w:rsid w:val="00233257"/>
    <w:rsid w:val="00244903"/>
    <w:rsid w:val="0026450C"/>
    <w:rsid w:val="00270A54"/>
    <w:rsid w:val="00292D05"/>
    <w:rsid w:val="00293DBD"/>
    <w:rsid w:val="002C4E59"/>
    <w:rsid w:val="002C688C"/>
    <w:rsid w:val="002D34E0"/>
    <w:rsid w:val="002D42A0"/>
    <w:rsid w:val="002E0C89"/>
    <w:rsid w:val="002E5852"/>
    <w:rsid w:val="00302FAE"/>
    <w:rsid w:val="00312CB4"/>
    <w:rsid w:val="00325040"/>
    <w:rsid w:val="00325232"/>
    <w:rsid w:val="00326531"/>
    <w:rsid w:val="003523A4"/>
    <w:rsid w:val="0035763B"/>
    <w:rsid w:val="003A6802"/>
    <w:rsid w:val="003B2BED"/>
    <w:rsid w:val="003B3534"/>
    <w:rsid w:val="003C5E37"/>
    <w:rsid w:val="003D4A81"/>
    <w:rsid w:val="003E4B36"/>
    <w:rsid w:val="00410D1A"/>
    <w:rsid w:val="004163FD"/>
    <w:rsid w:val="00436E08"/>
    <w:rsid w:val="00446517"/>
    <w:rsid w:val="0046413E"/>
    <w:rsid w:val="004775F3"/>
    <w:rsid w:val="00486AD7"/>
    <w:rsid w:val="00491099"/>
    <w:rsid w:val="004A4A93"/>
    <w:rsid w:val="004C6A25"/>
    <w:rsid w:val="004D4E28"/>
    <w:rsid w:val="004D5223"/>
    <w:rsid w:val="004E48DA"/>
    <w:rsid w:val="0050123B"/>
    <w:rsid w:val="00524716"/>
    <w:rsid w:val="005252AC"/>
    <w:rsid w:val="00535926"/>
    <w:rsid w:val="00557861"/>
    <w:rsid w:val="00557BED"/>
    <w:rsid w:val="0056062C"/>
    <w:rsid w:val="00562750"/>
    <w:rsid w:val="00565E7C"/>
    <w:rsid w:val="00567779"/>
    <w:rsid w:val="00575AC8"/>
    <w:rsid w:val="0058294A"/>
    <w:rsid w:val="005B114C"/>
    <w:rsid w:val="005B511F"/>
    <w:rsid w:val="005C59E9"/>
    <w:rsid w:val="005D430C"/>
    <w:rsid w:val="005E1D74"/>
    <w:rsid w:val="005E7E70"/>
    <w:rsid w:val="005F35AB"/>
    <w:rsid w:val="005F780E"/>
    <w:rsid w:val="006029A1"/>
    <w:rsid w:val="00611F55"/>
    <w:rsid w:val="00625FC3"/>
    <w:rsid w:val="006317ED"/>
    <w:rsid w:val="00642BA7"/>
    <w:rsid w:val="00663A0A"/>
    <w:rsid w:val="00693CFC"/>
    <w:rsid w:val="006940B7"/>
    <w:rsid w:val="00694894"/>
    <w:rsid w:val="00694987"/>
    <w:rsid w:val="006A083E"/>
    <w:rsid w:val="006A352E"/>
    <w:rsid w:val="006A6924"/>
    <w:rsid w:val="006B45DD"/>
    <w:rsid w:val="006C13B6"/>
    <w:rsid w:val="006D4750"/>
    <w:rsid w:val="006F39C3"/>
    <w:rsid w:val="006F5E4F"/>
    <w:rsid w:val="00722A33"/>
    <w:rsid w:val="0072382D"/>
    <w:rsid w:val="00732B02"/>
    <w:rsid w:val="00740625"/>
    <w:rsid w:val="0074230C"/>
    <w:rsid w:val="007467DF"/>
    <w:rsid w:val="00753140"/>
    <w:rsid w:val="00776A90"/>
    <w:rsid w:val="007A4449"/>
    <w:rsid w:val="007A7370"/>
    <w:rsid w:val="007A7FA3"/>
    <w:rsid w:val="007B6DE9"/>
    <w:rsid w:val="007C6B79"/>
    <w:rsid w:val="007E4D19"/>
    <w:rsid w:val="00802C6B"/>
    <w:rsid w:val="00806EB1"/>
    <w:rsid w:val="008079B9"/>
    <w:rsid w:val="008103D1"/>
    <w:rsid w:val="00816BCE"/>
    <w:rsid w:val="0083302C"/>
    <w:rsid w:val="00841A51"/>
    <w:rsid w:val="008566DD"/>
    <w:rsid w:val="008703D9"/>
    <w:rsid w:val="008826CB"/>
    <w:rsid w:val="008B26B7"/>
    <w:rsid w:val="008E07AE"/>
    <w:rsid w:val="008E2DAD"/>
    <w:rsid w:val="008F108F"/>
    <w:rsid w:val="008F41F5"/>
    <w:rsid w:val="009021FE"/>
    <w:rsid w:val="0090541C"/>
    <w:rsid w:val="00910EE4"/>
    <w:rsid w:val="009135C3"/>
    <w:rsid w:val="00923EB4"/>
    <w:rsid w:val="009315E6"/>
    <w:rsid w:val="009400C9"/>
    <w:rsid w:val="00940BD1"/>
    <w:rsid w:val="009520CB"/>
    <w:rsid w:val="00954BDC"/>
    <w:rsid w:val="0095613F"/>
    <w:rsid w:val="00962383"/>
    <w:rsid w:val="009647CD"/>
    <w:rsid w:val="009743F5"/>
    <w:rsid w:val="0098005E"/>
    <w:rsid w:val="009B3675"/>
    <w:rsid w:val="009B4B3A"/>
    <w:rsid w:val="009C450C"/>
    <w:rsid w:val="009D4C2C"/>
    <w:rsid w:val="009E61F0"/>
    <w:rsid w:val="009F3905"/>
    <w:rsid w:val="00A04021"/>
    <w:rsid w:val="00A150BF"/>
    <w:rsid w:val="00A2393C"/>
    <w:rsid w:val="00A33526"/>
    <w:rsid w:val="00A46ABC"/>
    <w:rsid w:val="00A62101"/>
    <w:rsid w:val="00A65D29"/>
    <w:rsid w:val="00A70414"/>
    <w:rsid w:val="00A713A2"/>
    <w:rsid w:val="00A77B72"/>
    <w:rsid w:val="00A86696"/>
    <w:rsid w:val="00AB630E"/>
    <w:rsid w:val="00AC1A90"/>
    <w:rsid w:val="00AC6658"/>
    <w:rsid w:val="00AC7D7B"/>
    <w:rsid w:val="00AD099B"/>
    <w:rsid w:val="00AD2DD6"/>
    <w:rsid w:val="00AD3BAB"/>
    <w:rsid w:val="00AD7297"/>
    <w:rsid w:val="00AE1D2B"/>
    <w:rsid w:val="00AE370F"/>
    <w:rsid w:val="00AE3BF5"/>
    <w:rsid w:val="00B06846"/>
    <w:rsid w:val="00B10992"/>
    <w:rsid w:val="00B21B51"/>
    <w:rsid w:val="00B4474F"/>
    <w:rsid w:val="00B64F2A"/>
    <w:rsid w:val="00B67A77"/>
    <w:rsid w:val="00BB14D2"/>
    <w:rsid w:val="00BC6CE2"/>
    <w:rsid w:val="00C00374"/>
    <w:rsid w:val="00C0224B"/>
    <w:rsid w:val="00C238B4"/>
    <w:rsid w:val="00C23BA7"/>
    <w:rsid w:val="00C30504"/>
    <w:rsid w:val="00C334E7"/>
    <w:rsid w:val="00C43E4A"/>
    <w:rsid w:val="00C47C75"/>
    <w:rsid w:val="00C51C25"/>
    <w:rsid w:val="00C56075"/>
    <w:rsid w:val="00C62C29"/>
    <w:rsid w:val="00C7159F"/>
    <w:rsid w:val="00C716D5"/>
    <w:rsid w:val="00C8133A"/>
    <w:rsid w:val="00C81F1B"/>
    <w:rsid w:val="00CA32EE"/>
    <w:rsid w:val="00CA62B3"/>
    <w:rsid w:val="00CA797C"/>
    <w:rsid w:val="00CB2651"/>
    <w:rsid w:val="00CB47DC"/>
    <w:rsid w:val="00CB5A4C"/>
    <w:rsid w:val="00CD061F"/>
    <w:rsid w:val="00CD7BC6"/>
    <w:rsid w:val="00CE2D18"/>
    <w:rsid w:val="00CE4062"/>
    <w:rsid w:val="00D0417F"/>
    <w:rsid w:val="00D12D7B"/>
    <w:rsid w:val="00D230BE"/>
    <w:rsid w:val="00D4032F"/>
    <w:rsid w:val="00D40807"/>
    <w:rsid w:val="00D43602"/>
    <w:rsid w:val="00D65FB9"/>
    <w:rsid w:val="00D71521"/>
    <w:rsid w:val="00D7753F"/>
    <w:rsid w:val="00D80A3F"/>
    <w:rsid w:val="00D964B1"/>
    <w:rsid w:val="00D97875"/>
    <w:rsid w:val="00DA0340"/>
    <w:rsid w:val="00DA52B0"/>
    <w:rsid w:val="00DA6ECD"/>
    <w:rsid w:val="00DB5EB8"/>
    <w:rsid w:val="00DC467A"/>
    <w:rsid w:val="00DC7F14"/>
    <w:rsid w:val="00DD09B4"/>
    <w:rsid w:val="00DE7DBD"/>
    <w:rsid w:val="00DF023E"/>
    <w:rsid w:val="00DF4BDA"/>
    <w:rsid w:val="00DF5E10"/>
    <w:rsid w:val="00E256C3"/>
    <w:rsid w:val="00E32451"/>
    <w:rsid w:val="00E44845"/>
    <w:rsid w:val="00E57963"/>
    <w:rsid w:val="00E64F58"/>
    <w:rsid w:val="00E825BB"/>
    <w:rsid w:val="00E837D4"/>
    <w:rsid w:val="00E973A4"/>
    <w:rsid w:val="00EA2BCB"/>
    <w:rsid w:val="00EB773C"/>
    <w:rsid w:val="00EC025F"/>
    <w:rsid w:val="00EC0F90"/>
    <w:rsid w:val="00ED3D9D"/>
    <w:rsid w:val="00ED7EC3"/>
    <w:rsid w:val="00EE1318"/>
    <w:rsid w:val="00EE7900"/>
    <w:rsid w:val="00EE7A33"/>
    <w:rsid w:val="00F014B5"/>
    <w:rsid w:val="00F346CB"/>
    <w:rsid w:val="00F658C0"/>
    <w:rsid w:val="00F76130"/>
    <w:rsid w:val="00F857D4"/>
    <w:rsid w:val="00F9404C"/>
    <w:rsid w:val="00FA59C3"/>
    <w:rsid w:val="00FB23CA"/>
    <w:rsid w:val="00FB51F2"/>
    <w:rsid w:val="00FC29CD"/>
    <w:rsid w:val="00FF4E28"/>
    <w:rsid w:val="00FF769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5122"/>
    <o:shapelayout v:ext="edit">
      <o:idmap v:ext="edit" data="1"/>
      <o:rules v:ext="edit">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ES_tradnl" w:eastAsia="es-ES_tradn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382D"/>
    <w:rPr>
      <w:rFonts w:ascii="Times New Roman" w:eastAsia="Times New Roman" w:hAnsi="Times New Roman"/>
      <w:sz w:val="24"/>
      <w:szCs w:val="24"/>
      <w:lang w:val="es-ES" w:eastAsia="es-ES"/>
    </w:rPr>
  </w:style>
  <w:style w:type="paragraph" w:styleId="Ttulo2">
    <w:name w:val="heading 2"/>
    <w:basedOn w:val="Normal"/>
    <w:next w:val="Normal"/>
    <w:link w:val="Ttulo2Car"/>
    <w:uiPriority w:val="99"/>
    <w:qFormat/>
    <w:locked/>
    <w:rsid w:val="00232C32"/>
    <w:pPr>
      <w:keepNext/>
      <w:spacing w:before="240" w:after="60" w:line="276" w:lineRule="auto"/>
      <w:outlineLvl w:val="1"/>
    </w:pPr>
    <w:rPr>
      <w:rFonts w:ascii="Calibri" w:eastAsia="Calibri" w:hAnsi="Calibri"/>
      <w:sz w:val="20"/>
      <w:szCs w:val="20"/>
      <w:lang w:eastAsia="en-US"/>
    </w:rPr>
  </w:style>
  <w:style w:type="paragraph" w:styleId="Ttulo3">
    <w:name w:val="heading 3"/>
    <w:basedOn w:val="Normal"/>
    <w:link w:val="Ttulo3Car"/>
    <w:uiPriority w:val="99"/>
    <w:qFormat/>
    <w:rsid w:val="00C7159F"/>
    <w:pPr>
      <w:spacing w:before="100" w:beforeAutospacing="1" w:after="100" w:afterAutospacing="1"/>
      <w:outlineLvl w:val="2"/>
    </w:pPr>
    <w:rPr>
      <w:b/>
      <w:bCs/>
      <w:sz w:val="27"/>
      <w:szCs w:val="27"/>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ing2Char">
    <w:name w:val="Heading 2 Char"/>
    <w:basedOn w:val="Fuentedeprrafopredeter"/>
    <w:link w:val="Ttulo2"/>
    <w:uiPriority w:val="99"/>
    <w:semiHidden/>
    <w:locked/>
    <w:rsid w:val="0056062C"/>
    <w:rPr>
      <w:rFonts w:ascii="Cambria" w:hAnsi="Cambria" w:cs="Times New Roman"/>
      <w:b/>
      <w:bCs/>
      <w:i/>
      <w:iCs/>
      <w:sz w:val="28"/>
      <w:szCs w:val="28"/>
      <w:lang w:val="es-ES" w:eastAsia="es-ES"/>
    </w:rPr>
  </w:style>
  <w:style w:type="character" w:customStyle="1" w:styleId="Ttulo3Car">
    <w:name w:val="Título 3 Car"/>
    <w:basedOn w:val="Fuentedeprrafopredeter"/>
    <w:link w:val="Ttulo3"/>
    <w:uiPriority w:val="99"/>
    <w:locked/>
    <w:rsid w:val="00C7159F"/>
    <w:rPr>
      <w:rFonts w:ascii="Times New Roman" w:hAnsi="Times New Roman" w:cs="Times New Roman"/>
      <w:b/>
      <w:bCs/>
      <w:sz w:val="27"/>
      <w:szCs w:val="27"/>
      <w:lang w:val="es-MX" w:eastAsia="es-MX"/>
    </w:rPr>
  </w:style>
  <w:style w:type="paragraph" w:styleId="Textodeglobo">
    <w:name w:val="Balloon Text"/>
    <w:basedOn w:val="Normal"/>
    <w:link w:val="TextodegloboCar"/>
    <w:uiPriority w:val="99"/>
    <w:semiHidden/>
    <w:rsid w:val="0072382D"/>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72382D"/>
    <w:rPr>
      <w:rFonts w:ascii="Tahoma" w:hAnsi="Tahoma" w:cs="Tahoma"/>
      <w:sz w:val="16"/>
      <w:szCs w:val="16"/>
      <w:lang w:val="es-ES" w:eastAsia="es-ES"/>
    </w:rPr>
  </w:style>
  <w:style w:type="character" w:styleId="Hipervnculo">
    <w:name w:val="Hyperlink"/>
    <w:basedOn w:val="Fuentedeprrafopredeter"/>
    <w:uiPriority w:val="99"/>
    <w:rsid w:val="00C7159F"/>
    <w:rPr>
      <w:rFonts w:cs="Times New Roman"/>
      <w:color w:val="0000FF"/>
      <w:u w:val="single"/>
    </w:rPr>
  </w:style>
  <w:style w:type="character" w:customStyle="1" w:styleId="longtext">
    <w:name w:val="long_text"/>
    <w:basedOn w:val="Fuentedeprrafopredeter"/>
    <w:uiPriority w:val="99"/>
    <w:rsid w:val="00C7159F"/>
    <w:rPr>
      <w:rFonts w:cs="Times New Roman"/>
    </w:rPr>
  </w:style>
  <w:style w:type="paragraph" w:customStyle="1" w:styleId="Default">
    <w:name w:val="Default"/>
    <w:uiPriority w:val="99"/>
    <w:rsid w:val="00C7159F"/>
    <w:pPr>
      <w:suppressAutoHyphens/>
      <w:autoSpaceDE w:val="0"/>
    </w:pPr>
    <w:rPr>
      <w:rFonts w:ascii="Arial" w:hAnsi="Arial" w:cs="Arial"/>
      <w:color w:val="000000"/>
      <w:sz w:val="24"/>
      <w:szCs w:val="24"/>
      <w:lang w:val="es-ES" w:eastAsia="ar-SA"/>
    </w:rPr>
  </w:style>
  <w:style w:type="paragraph" w:styleId="NormalWeb">
    <w:name w:val="Normal (Web)"/>
    <w:basedOn w:val="Normal"/>
    <w:uiPriority w:val="99"/>
    <w:rsid w:val="00C7159F"/>
    <w:pPr>
      <w:suppressAutoHyphens/>
      <w:spacing w:before="280" w:after="280"/>
    </w:pPr>
    <w:rPr>
      <w:lang w:eastAsia="ar-SA"/>
    </w:rPr>
  </w:style>
  <w:style w:type="paragraph" w:styleId="Textonotapie">
    <w:name w:val="footnote text"/>
    <w:basedOn w:val="Normal"/>
    <w:link w:val="TextonotapieCar"/>
    <w:uiPriority w:val="99"/>
    <w:rsid w:val="00C7159F"/>
    <w:pPr>
      <w:suppressAutoHyphens/>
    </w:pPr>
    <w:rPr>
      <w:sz w:val="20"/>
      <w:szCs w:val="20"/>
      <w:lang w:eastAsia="ar-SA"/>
    </w:rPr>
  </w:style>
  <w:style w:type="character" w:customStyle="1" w:styleId="TextonotapieCar">
    <w:name w:val="Texto nota pie Car"/>
    <w:basedOn w:val="Fuentedeprrafopredeter"/>
    <w:link w:val="Textonotapie"/>
    <w:uiPriority w:val="99"/>
    <w:locked/>
    <w:rsid w:val="00C7159F"/>
    <w:rPr>
      <w:rFonts w:ascii="Times New Roman" w:hAnsi="Times New Roman" w:cs="Times New Roman"/>
      <w:sz w:val="20"/>
      <w:szCs w:val="20"/>
      <w:lang w:val="es-ES" w:eastAsia="ar-SA" w:bidi="ar-SA"/>
    </w:rPr>
  </w:style>
  <w:style w:type="character" w:styleId="nfasis">
    <w:name w:val="Emphasis"/>
    <w:basedOn w:val="Fuentedeprrafopredeter"/>
    <w:uiPriority w:val="99"/>
    <w:qFormat/>
    <w:rsid w:val="00C7159F"/>
    <w:rPr>
      <w:rFonts w:cs="Times New Roman"/>
      <w:i/>
      <w:iCs/>
    </w:rPr>
  </w:style>
  <w:style w:type="character" w:customStyle="1" w:styleId="Smbolodenotaalpie">
    <w:name w:val="Símbolo de nota al pie"/>
    <w:basedOn w:val="Fuentedeprrafopredeter"/>
    <w:uiPriority w:val="99"/>
    <w:rsid w:val="00C7159F"/>
    <w:rPr>
      <w:rFonts w:cs="Times New Roman"/>
      <w:vertAlign w:val="superscript"/>
    </w:rPr>
  </w:style>
  <w:style w:type="character" w:customStyle="1" w:styleId="CarCar2">
    <w:name w:val="Car Car2"/>
    <w:basedOn w:val="Fuentedeprrafopredeter"/>
    <w:uiPriority w:val="99"/>
    <w:locked/>
    <w:rsid w:val="005E1D74"/>
    <w:rPr>
      <w:rFonts w:ascii="Calibri" w:hAnsi="Calibri" w:cs="Calibri"/>
      <w:sz w:val="20"/>
      <w:szCs w:val="20"/>
      <w:lang w:val="es-ES"/>
    </w:rPr>
  </w:style>
  <w:style w:type="character" w:styleId="Refdenotaalpie">
    <w:name w:val="footnote reference"/>
    <w:basedOn w:val="Fuentedeprrafopredeter"/>
    <w:uiPriority w:val="99"/>
    <w:semiHidden/>
    <w:rsid w:val="005E1D74"/>
    <w:rPr>
      <w:rFonts w:cs="Times New Roman"/>
      <w:vertAlign w:val="superscript"/>
    </w:rPr>
  </w:style>
  <w:style w:type="character" w:styleId="Hipervnculovisitado">
    <w:name w:val="FollowedHyperlink"/>
    <w:basedOn w:val="Fuentedeprrafopredeter"/>
    <w:uiPriority w:val="99"/>
    <w:rsid w:val="00232C32"/>
    <w:rPr>
      <w:rFonts w:cs="Times New Roman"/>
      <w:color w:val="800080"/>
      <w:u w:val="single"/>
    </w:rPr>
  </w:style>
  <w:style w:type="character" w:customStyle="1" w:styleId="Ttulo2Car">
    <w:name w:val="Título 2 Car"/>
    <w:link w:val="Ttulo2"/>
    <w:uiPriority w:val="99"/>
    <w:locked/>
    <w:rsid w:val="00217C55"/>
    <w:rPr>
      <w:rFonts w:ascii="Calibri" w:hAnsi="Calibri"/>
      <w:lang w:val="es-ES" w:eastAsia="en-US"/>
    </w:rPr>
  </w:style>
  <w:style w:type="character" w:customStyle="1" w:styleId="CarCar">
    <w:name w:val="Car Car"/>
    <w:uiPriority w:val="99"/>
    <w:semiHidden/>
    <w:locked/>
    <w:rsid w:val="00232C32"/>
    <w:rPr>
      <w:rFonts w:ascii="Calibri" w:hAnsi="Calibri"/>
    </w:rPr>
  </w:style>
  <w:style w:type="character" w:customStyle="1" w:styleId="EncabezadoCar">
    <w:name w:val="Encabezado Car"/>
    <w:basedOn w:val="Fuentedeprrafopredeter"/>
    <w:link w:val="Encabezado"/>
    <w:uiPriority w:val="99"/>
    <w:semiHidden/>
    <w:locked/>
    <w:rsid w:val="00232C32"/>
    <w:rPr>
      <w:rFonts w:ascii="Calibri" w:hAnsi="Calibri" w:cs="Times New Roman"/>
      <w:sz w:val="22"/>
      <w:szCs w:val="22"/>
      <w:lang w:val="es-ES" w:eastAsia="en-US" w:bidi="ar-SA"/>
    </w:rPr>
  </w:style>
  <w:style w:type="paragraph" w:styleId="Encabezado">
    <w:name w:val="header"/>
    <w:basedOn w:val="Normal"/>
    <w:link w:val="EncabezadoCar"/>
    <w:uiPriority w:val="99"/>
    <w:semiHidden/>
    <w:rsid w:val="00232C32"/>
    <w:pPr>
      <w:tabs>
        <w:tab w:val="center" w:pos="4252"/>
        <w:tab w:val="right" w:pos="8504"/>
      </w:tabs>
    </w:pPr>
    <w:rPr>
      <w:rFonts w:ascii="Calibri" w:hAnsi="Calibri"/>
      <w:sz w:val="22"/>
      <w:szCs w:val="22"/>
      <w:lang w:eastAsia="en-US"/>
    </w:rPr>
  </w:style>
  <w:style w:type="character" w:customStyle="1" w:styleId="HeaderChar">
    <w:name w:val="Header Char"/>
    <w:basedOn w:val="Fuentedeprrafopredeter"/>
    <w:link w:val="Encabezado"/>
    <w:uiPriority w:val="99"/>
    <w:semiHidden/>
    <w:locked/>
    <w:rsid w:val="0056062C"/>
    <w:rPr>
      <w:rFonts w:ascii="Times New Roman" w:hAnsi="Times New Roman" w:cs="Times New Roman"/>
      <w:sz w:val="24"/>
      <w:szCs w:val="24"/>
      <w:lang w:val="es-ES" w:eastAsia="es-ES"/>
    </w:rPr>
  </w:style>
  <w:style w:type="character" w:customStyle="1" w:styleId="PiedepginaCar">
    <w:name w:val="Pie de página Car"/>
    <w:basedOn w:val="Fuentedeprrafopredeter"/>
    <w:link w:val="Piedepgina"/>
    <w:uiPriority w:val="99"/>
    <w:locked/>
    <w:rsid w:val="00232C32"/>
    <w:rPr>
      <w:rFonts w:ascii="Calibri" w:hAnsi="Calibri" w:cs="Times New Roman"/>
      <w:sz w:val="22"/>
      <w:szCs w:val="22"/>
      <w:lang w:val="es-ES" w:eastAsia="en-US" w:bidi="ar-SA"/>
    </w:rPr>
  </w:style>
  <w:style w:type="paragraph" w:styleId="Piedepgina">
    <w:name w:val="footer"/>
    <w:basedOn w:val="Normal"/>
    <w:link w:val="PiedepginaCar"/>
    <w:uiPriority w:val="99"/>
    <w:rsid w:val="00232C32"/>
    <w:pPr>
      <w:tabs>
        <w:tab w:val="center" w:pos="4252"/>
        <w:tab w:val="right" w:pos="8504"/>
      </w:tabs>
    </w:pPr>
    <w:rPr>
      <w:rFonts w:ascii="Calibri" w:hAnsi="Calibri"/>
      <w:sz w:val="22"/>
      <w:szCs w:val="22"/>
      <w:lang w:eastAsia="en-US"/>
    </w:rPr>
  </w:style>
  <w:style w:type="character" w:customStyle="1" w:styleId="FooterChar">
    <w:name w:val="Footer Char"/>
    <w:basedOn w:val="Fuentedeprrafopredeter"/>
    <w:link w:val="Piedepgina"/>
    <w:uiPriority w:val="99"/>
    <w:semiHidden/>
    <w:locked/>
    <w:rsid w:val="0056062C"/>
    <w:rPr>
      <w:rFonts w:ascii="Times New Roman" w:hAnsi="Times New Roman" w:cs="Times New Roman"/>
      <w:sz w:val="24"/>
      <w:szCs w:val="24"/>
      <w:lang w:val="es-ES" w:eastAsia="es-ES"/>
    </w:rPr>
  </w:style>
  <w:style w:type="paragraph" w:customStyle="1" w:styleId="Prrafodelista1">
    <w:name w:val="Párrafo de lista1"/>
    <w:basedOn w:val="Normal"/>
    <w:uiPriority w:val="99"/>
    <w:rsid w:val="00232C32"/>
    <w:pPr>
      <w:spacing w:after="200" w:line="276" w:lineRule="auto"/>
      <w:ind w:left="720"/>
      <w:contextualSpacing/>
    </w:pPr>
    <w:rPr>
      <w:rFonts w:ascii="Calibri" w:hAnsi="Calibri"/>
      <w:sz w:val="22"/>
      <w:szCs w:val="22"/>
      <w:lang w:eastAsia="en-US"/>
    </w:rPr>
  </w:style>
  <w:style w:type="paragraph" w:customStyle="1" w:styleId="Standard">
    <w:name w:val="Standard"/>
    <w:uiPriority w:val="99"/>
    <w:rsid w:val="00232C32"/>
    <w:pPr>
      <w:widowControl w:val="0"/>
      <w:suppressAutoHyphens/>
    </w:pPr>
    <w:rPr>
      <w:rFonts w:ascii="Liberation Serif" w:eastAsia="Liberation Serif" w:hAnsi="Times New Roman" w:cs="DejaVu Sans"/>
      <w:kern w:val="2"/>
      <w:sz w:val="24"/>
      <w:szCs w:val="24"/>
      <w:lang w:val="es-SV" w:eastAsia="hi-IN" w:bidi="hi-IN"/>
    </w:rPr>
  </w:style>
  <w:style w:type="paragraph" w:customStyle="1" w:styleId="Textbody">
    <w:name w:val="Text body"/>
    <w:basedOn w:val="Standard"/>
    <w:uiPriority w:val="99"/>
    <w:rsid w:val="00232C32"/>
    <w:pPr>
      <w:spacing w:after="120"/>
    </w:pPr>
  </w:style>
  <w:style w:type="character" w:customStyle="1" w:styleId="articletitle">
    <w:name w:val="articletitle"/>
    <w:basedOn w:val="Fuentedeprrafopredeter"/>
    <w:uiPriority w:val="99"/>
    <w:rsid w:val="00232C32"/>
    <w:rPr>
      <w:rFonts w:cs="Times New Roman"/>
    </w:rPr>
  </w:style>
  <w:style w:type="character" w:customStyle="1" w:styleId="google-src-text1">
    <w:name w:val="google-src-text1"/>
    <w:uiPriority w:val="99"/>
    <w:rsid w:val="00232C32"/>
    <w:rPr>
      <w:vanish/>
    </w:rPr>
  </w:style>
  <w:style w:type="character" w:customStyle="1" w:styleId="subtext">
    <w:name w:val="subtext"/>
    <w:basedOn w:val="Fuentedeprrafopredeter"/>
    <w:uiPriority w:val="99"/>
    <w:rsid w:val="00232C32"/>
    <w:rPr>
      <w:rFonts w:cs="Times New Roman"/>
    </w:rPr>
  </w:style>
  <w:style w:type="character" w:customStyle="1" w:styleId="noticiagris">
    <w:name w:val="noticia_gris"/>
    <w:basedOn w:val="Fuentedeprrafopredeter"/>
    <w:uiPriority w:val="99"/>
    <w:rsid w:val="00232C32"/>
    <w:rPr>
      <w:rFonts w:cs="Times New Roman"/>
    </w:rPr>
  </w:style>
  <w:style w:type="table" w:styleId="Tablaconcuadrcula">
    <w:name w:val="Table Grid"/>
    <w:basedOn w:val="Tablanormal"/>
    <w:uiPriority w:val="99"/>
    <w:locked/>
    <w:rsid w:val="00232C32"/>
    <w:rPr>
      <w:rFonts w:eastAsia="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Textoennegrita">
    <w:name w:val="Strong"/>
    <w:basedOn w:val="Fuentedeprrafopredeter"/>
    <w:uiPriority w:val="99"/>
    <w:qFormat/>
    <w:locked/>
    <w:rsid w:val="00232C32"/>
    <w:rPr>
      <w:rFonts w:cs="Times New Roman"/>
      <w:b/>
      <w:bCs/>
    </w:rPr>
  </w:style>
  <w:style w:type="paragraph" w:styleId="Prrafodelista">
    <w:name w:val="List Paragraph"/>
    <w:basedOn w:val="Normal"/>
    <w:uiPriority w:val="99"/>
    <w:qFormat/>
    <w:rsid w:val="00217C55"/>
    <w:pPr>
      <w:spacing w:after="200" w:line="276" w:lineRule="auto"/>
      <w:ind w:left="720"/>
      <w:contextualSpacing/>
    </w:pPr>
    <w:rPr>
      <w:rFonts w:ascii="Calibri" w:eastAsia="Calibri" w:hAnsi="Calibri"/>
      <w:sz w:val="22"/>
      <w:szCs w:val="22"/>
      <w:lang w:val="es-SV" w:eastAsia="en-US"/>
    </w:rPr>
  </w:style>
  <w:style w:type="character" w:customStyle="1" w:styleId="headline">
    <w:name w:val="headline"/>
    <w:basedOn w:val="Fuentedeprrafopredeter"/>
    <w:uiPriority w:val="99"/>
    <w:rsid w:val="00217C55"/>
    <w:rPr>
      <w:rFonts w:cs="Times New Roman"/>
    </w:rPr>
  </w:style>
  <w:style w:type="character" w:styleId="Nmerodepgina">
    <w:name w:val="page number"/>
    <w:basedOn w:val="Fuentedeprrafopredeter"/>
    <w:uiPriority w:val="99"/>
    <w:rsid w:val="00816BCE"/>
    <w:rPr>
      <w:rFonts w:cs="Times New Roman"/>
    </w:rPr>
  </w:style>
  <w:style w:type="paragraph" w:styleId="Textoindependiente">
    <w:name w:val="Body Text"/>
    <w:basedOn w:val="Normal"/>
    <w:link w:val="TextoindependienteCar"/>
    <w:uiPriority w:val="99"/>
    <w:rsid w:val="005D430C"/>
    <w:pPr>
      <w:spacing w:after="120"/>
    </w:pPr>
  </w:style>
  <w:style w:type="character" w:customStyle="1" w:styleId="BodyTextChar">
    <w:name w:val="Body Text Char"/>
    <w:basedOn w:val="Fuentedeprrafopredeter"/>
    <w:link w:val="Textoindependiente"/>
    <w:uiPriority w:val="99"/>
    <w:semiHidden/>
    <w:rsid w:val="002B46E1"/>
    <w:rPr>
      <w:rFonts w:ascii="Times New Roman" w:eastAsia="Times New Roman" w:hAnsi="Times New Roman"/>
      <w:sz w:val="24"/>
      <w:szCs w:val="24"/>
      <w:lang w:val="es-ES" w:eastAsia="es-ES"/>
    </w:rPr>
  </w:style>
  <w:style w:type="character" w:customStyle="1" w:styleId="TextoindependienteCar">
    <w:name w:val="Texto independiente Car"/>
    <w:basedOn w:val="Fuentedeprrafopredeter"/>
    <w:link w:val="Textoindependiente"/>
    <w:uiPriority w:val="99"/>
    <w:locked/>
    <w:rsid w:val="005D430C"/>
    <w:rPr>
      <w:rFonts w:eastAsia="Times New Roman" w:cs="Times New Roman"/>
      <w:sz w:val="24"/>
      <w:szCs w:val="24"/>
      <w:lang w:val="es-ES" w:eastAsia="es-ES" w:bidi="ar-SA"/>
    </w:rPr>
  </w:style>
  <w:style w:type="paragraph" w:styleId="Encabezadodenota">
    <w:name w:val="Note Heading"/>
    <w:basedOn w:val="Normal"/>
    <w:next w:val="Normal"/>
    <w:link w:val="EncabezadodenotaCar"/>
    <w:uiPriority w:val="99"/>
    <w:rsid w:val="009520CB"/>
  </w:style>
  <w:style w:type="character" w:customStyle="1" w:styleId="NoteHeadingChar">
    <w:name w:val="Note Heading Char"/>
    <w:basedOn w:val="Fuentedeprrafopredeter"/>
    <w:link w:val="Encabezadodenota"/>
    <w:uiPriority w:val="99"/>
    <w:semiHidden/>
    <w:rsid w:val="002B46E1"/>
    <w:rPr>
      <w:rFonts w:ascii="Times New Roman" w:eastAsia="Times New Roman" w:hAnsi="Times New Roman"/>
      <w:sz w:val="24"/>
      <w:szCs w:val="24"/>
      <w:lang w:val="es-ES" w:eastAsia="es-ES"/>
    </w:rPr>
  </w:style>
  <w:style w:type="character" w:customStyle="1" w:styleId="EncabezadodenotaCar">
    <w:name w:val="Encabezado de nota Car"/>
    <w:basedOn w:val="Fuentedeprrafopredeter"/>
    <w:link w:val="Encabezadodenota"/>
    <w:uiPriority w:val="99"/>
    <w:locked/>
    <w:rsid w:val="009520CB"/>
    <w:rPr>
      <w:rFonts w:eastAsia="Times New Roman" w:cs="Times New Roman"/>
      <w:sz w:val="24"/>
      <w:szCs w:val="24"/>
      <w:lang w:val="es-ES" w:eastAsia="es-ES" w:bidi="ar-SA"/>
    </w:rPr>
  </w:style>
</w:styles>
</file>

<file path=word/webSettings.xml><?xml version="1.0" encoding="utf-8"?>
<w:webSettings xmlns:r="http://schemas.openxmlformats.org/officeDocument/2006/relationships" xmlns:w="http://schemas.openxmlformats.org/wordprocessingml/2006/main">
  <w:divs>
    <w:div w:id="763919601">
      <w:marLeft w:val="0"/>
      <w:marRight w:val="0"/>
      <w:marTop w:val="0"/>
      <w:marBottom w:val="0"/>
      <w:divBdr>
        <w:top w:val="none" w:sz="0" w:space="0" w:color="auto"/>
        <w:left w:val="none" w:sz="0" w:space="0" w:color="auto"/>
        <w:bottom w:val="none" w:sz="0" w:space="0" w:color="auto"/>
        <w:right w:val="none" w:sz="0" w:space="0" w:color="auto"/>
      </w:divBdr>
    </w:div>
    <w:div w:id="76391960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translate.googleusercontent.com/translate_c?hl=es&amp;sl=en&amp;u=http://en.wikipedia.org/wiki/Joseph_Hazelwood&amp;prev=/search%3Fq%3Dexxon%2Bvaldez%26hl%3Des%26lr%3D&amp;rurl=translate.google.com.sv&amp;usg=ALkJrhijx3c8s4Tvgw_OiKUipeGS0bqmPQ" TargetMode="External"/><Relationship Id="rId117" Type="http://schemas.openxmlformats.org/officeDocument/2006/relationships/hyperlink" Target="http://e-ships.net/index/S14.shtml" TargetMode="External"/><Relationship Id="rId21" Type="http://schemas.openxmlformats.org/officeDocument/2006/relationships/hyperlink" Target="http://translate.googleusercontent.com/translate_c?hl=es&amp;sl=en&amp;u=http://www.eoearth.org/article/Prince_William_Sound,_Alaska&amp;prev=/search%3Fq%3Dexxon%2Bvaldez%26hl%3Des%26lr%3D&amp;rurl=translate.google.com.sv&amp;usg=ALkJrhhojw3K_pNHZ9bDoYRbe56p3ISSlQ" TargetMode="External"/><Relationship Id="rId42" Type="http://schemas.openxmlformats.org/officeDocument/2006/relationships/hyperlink" Target="http://www.monografias.com/trabajos7/esun/esun.shtml" TargetMode="External"/><Relationship Id="rId47" Type="http://schemas.openxmlformats.org/officeDocument/2006/relationships/hyperlink" Target="http://translate.googleusercontent.com/translate_c?hl=es&amp;sl=en&amp;u=http://en.wikipedia.org/wiki/Bald_eagle&amp;prev=/search%3Fq%3Dexxon%2Bvaldez%26hl%3Des%26lr%3D&amp;rurl=translate.google.com.sv&amp;usg=ALkJrhhcjjI8DKGW7I518kUy61bmRNfIGA" TargetMode="External"/><Relationship Id="rId63" Type="http://schemas.openxmlformats.org/officeDocument/2006/relationships/hyperlink" Target="http://www.miliarium.com/Monografias/MareasNegras/normativa/RDLey9-02.asp" TargetMode="External"/><Relationship Id="rId68" Type="http://schemas.openxmlformats.org/officeDocument/2006/relationships/image" Target="media/image4.png"/><Relationship Id="rId84" Type="http://schemas.openxmlformats.org/officeDocument/2006/relationships/image" Target="media/image12.jpeg"/><Relationship Id="rId89" Type="http://schemas.openxmlformats.org/officeDocument/2006/relationships/hyperlink" Target="http://www.mpr.es/NR/rdonlyres/86A56CA7-9C86-4F17-AD41%20DB440E637DED/79698/AccidentesSignificativos1.pd" TargetMode="External"/><Relationship Id="rId112" Type="http://schemas.openxmlformats.org/officeDocument/2006/relationships/hyperlink" Target="http://www.laprensagrafica.com/economia/nacional/127012-puerto-de-la-union-a-la-caza-deusuarios.html" TargetMode="External"/><Relationship Id="rId16" Type="http://schemas.openxmlformats.org/officeDocument/2006/relationships/hyperlink" Target="http://es.wikipedia.org/wiki/Portugal" TargetMode="External"/><Relationship Id="rId107" Type="http://schemas.openxmlformats.org/officeDocument/2006/relationships/hyperlink" Target="http://comunidad.uem.es/jose-maria-peredo/2010/4/6/la-gran-barrera-coral-australiana-peligro" TargetMode="External"/><Relationship Id="rId11" Type="http://schemas.openxmlformats.org/officeDocument/2006/relationships/hyperlink" Target="http://es.wikipedia.org/wiki/Espa%C3%B1a" TargetMode="External"/><Relationship Id="rId32" Type="http://schemas.openxmlformats.org/officeDocument/2006/relationships/hyperlink" Target="http://translate.googleusercontent.com/translate_c?hl=es&amp;sl=en&amp;u=http://en.wikipedia.org/wiki/Bligh_Reef&amp;prev=/search%3Fq%3Dexxon%2Bvaldez%26hl%3Des%26lr%3D&amp;rurl=translate.google.com.sv&amp;usg=ALkJrhhroiifyWIdmnxdKg9tYU7WZipEMQ" TargetMode="External"/><Relationship Id="rId37" Type="http://schemas.openxmlformats.org/officeDocument/2006/relationships/hyperlink" Target="http://www.monografias.com/Politica/index.shtml" TargetMode="External"/><Relationship Id="rId53" Type="http://schemas.openxmlformats.org/officeDocument/2006/relationships/hyperlink" Target="http://es.wikipedia.org/w/index.php?title=Instituto_de_Marina_de_Hubbs&amp;action=edit&amp;redlink=1" TargetMode="External"/><Relationship Id="rId58" Type="http://schemas.openxmlformats.org/officeDocument/2006/relationships/hyperlink" Target="http://es.wikipedia.org/wiki/Cronolog%C3%ADa_de_eventos_de_la_tragedia_del_STS-107_Columbia" TargetMode="External"/><Relationship Id="rId74" Type="http://schemas.openxmlformats.org/officeDocument/2006/relationships/hyperlink" Target="http://es.wikipedia.org/wiki/Asamblea_Legislativa_de_El_Salvador" TargetMode="External"/><Relationship Id="rId79" Type="http://schemas.openxmlformats.org/officeDocument/2006/relationships/image" Target="media/image7.png"/><Relationship Id="rId102" Type="http://schemas.openxmlformats.org/officeDocument/2006/relationships/hyperlink" Target="http://www.elmundo.com.sv/economia/557-gobierno-inaugura-hoy-el-puerto-de-la-union.html" TargetMode="External"/><Relationship Id="rId5" Type="http://schemas.openxmlformats.org/officeDocument/2006/relationships/webSettings" Target="webSettings.xml"/><Relationship Id="rId61" Type="http://schemas.openxmlformats.org/officeDocument/2006/relationships/hyperlink" Target="http://www.miliarium.com/Monografias/MareasNegras/normativa/RDLey7-02.asp" TargetMode="External"/><Relationship Id="rId82" Type="http://schemas.openxmlformats.org/officeDocument/2006/relationships/image" Target="media/image10.jpeg"/><Relationship Id="rId90" Type="http://schemas.openxmlformats.org/officeDocument/2006/relationships/hyperlink" Target="http://cuidatumadretierra.blogspot.com/2010/05/arrecifes-de-corales-en-peligro.html" TargetMode="External"/><Relationship Id="rId95" Type="http://schemas.openxmlformats.org/officeDocument/2006/relationships/hyperlink" Target="http://www.puertolaunion.gob.sv/index.php?articulo=1021" TargetMode="External"/><Relationship Id="rId19" Type="http://schemas.openxmlformats.org/officeDocument/2006/relationships/hyperlink" Target="http://es.wikipedia.org/wiki/Galicia" TargetMode="External"/><Relationship Id="rId14" Type="http://schemas.openxmlformats.org/officeDocument/2006/relationships/hyperlink" Target="http://es.wikipedia.org/w/index.php?title=Cat%C3%A1strofe_medioambiental&amp;action=edit&amp;redlink=1" TargetMode="External"/><Relationship Id="rId22" Type="http://schemas.openxmlformats.org/officeDocument/2006/relationships/hyperlink" Target="http://translate.googleusercontent.com/translate_c?hl=es&amp;sl=en&amp;u=http://en.wikipedia.org/wiki/Long_Beach,_California&amp;prev=/search%3Fq%3Dexxon%2Bvaldez%26hl%3Des%26lr%3D&amp;rurl=translate.google.com.sv&amp;usg=ALkJrhitN_ImxeZoybkd5fE2cMdPrg9Nng" TargetMode="External"/><Relationship Id="rId27" Type="http://schemas.openxmlformats.org/officeDocument/2006/relationships/hyperlink" Target="http://translate.googleusercontent.com/translate_c?hl=es&amp;sl=en&amp;u=http://en.wikipedia.org/wiki/Third_Mate&amp;prev=/search%3Fq%3Dexxon%2Bvaldez%26hl%3Des%26lr%3D&amp;rurl=translate.google.com.sv&amp;usg=ALkJrhig18nei0XAbTncueYn-ZBYdruIXw" TargetMode="External"/><Relationship Id="rId30" Type="http://schemas.openxmlformats.org/officeDocument/2006/relationships/hyperlink" Target="http://translate.googleusercontent.com/translate_c?hl=es&amp;sl=en&amp;u=http://en.wikipedia.org/wiki/United_States_Coast_Guard&amp;prev=/search%3Fq%3Dexxon%2Bvaldez%26hl%3Des%26lr%3D&amp;rurl=translate.google.com.sv&amp;usg=ALkJrhipCMZOO681BAZmfU1IW9EJOSzEsg" TargetMode="External"/><Relationship Id="rId35" Type="http://schemas.openxmlformats.org/officeDocument/2006/relationships/hyperlink" Target="http://www.monografias.com/trabajos15/calidad-serv/calidad-serv.shtml" TargetMode="External"/><Relationship Id="rId43" Type="http://schemas.openxmlformats.org/officeDocument/2006/relationships/hyperlink" Target="http://translate.googleusercontent.com/translate_c?hl=es&amp;sl=en&amp;u=http://en.wikipedia.org/wiki/Seabird&amp;prev=/search%3Fq%3Dexxon%2Bvaldez%26hl%3Des%26lr%3D&amp;rurl=translate.google.com.sv&amp;usg=ALkJrhiZ3DCPGZoFnLy5iDNm5IjYEe-VVg" TargetMode="External"/><Relationship Id="rId48" Type="http://schemas.openxmlformats.org/officeDocument/2006/relationships/hyperlink" Target="http://translate.googleusercontent.com/translate_c?hl=es&amp;sl=en&amp;u=http://en.wikipedia.org/wiki/Orca&amp;prev=/search%3Fq%3Dexxon%2Bvaldez%26hl%3Des%26lr%3D&amp;rurl=translate.google.com.sv&amp;usg=ALkJrhhA3m9O_VZbmpw1JQ2QrBsS7XGEgA" TargetMode="External"/><Relationship Id="rId56" Type="http://schemas.openxmlformats.org/officeDocument/2006/relationships/hyperlink" Target="http://es.wikipedia.org/wiki/Galicia" TargetMode="External"/><Relationship Id="rId64" Type="http://schemas.openxmlformats.org/officeDocument/2006/relationships/hyperlink" Target="http://www.miliarium.com/Monografias/MareasNegras/normativa/RD276-05.pdf" TargetMode="External"/><Relationship Id="rId69" Type="http://schemas.openxmlformats.org/officeDocument/2006/relationships/hyperlink" Target="http://www.monografias.com/trabajos16/marca/marca.shtml" TargetMode="External"/><Relationship Id="rId77" Type="http://schemas.openxmlformats.org/officeDocument/2006/relationships/image" Target="media/image6.emf"/><Relationship Id="rId100" Type="http://schemas.openxmlformats.org/officeDocument/2006/relationships/hyperlink" Target="http://www.revistasumma.com/economia/3872-el-salvador-inaugura-puerto-la-union-con-miras-a-concesionarlo.html" TargetMode="External"/><Relationship Id="rId105" Type="http://schemas.openxmlformats.org/officeDocument/2006/relationships/hyperlink" Target="http://www.marenostrum.org/ecologia/medio_ambiente/prestige/desgracia5.htm" TargetMode="External"/><Relationship Id="rId113" Type="http://schemas.openxmlformats.org/officeDocument/2006/relationships/hyperlink" Target="http://www.cepa.gob.sv/contenido.php?cont=18&amp;id=17" TargetMode="External"/><Relationship Id="rId118" Type="http://schemas.openxmlformats.org/officeDocument/2006/relationships/hyperlink" Target="http://www.lboro.ac.uk/departments/hu/ergsinhu/aboutergs/lasttrip.html" TargetMode="External"/><Relationship Id="rId8" Type="http://schemas.openxmlformats.org/officeDocument/2006/relationships/image" Target="media/image2.jpeg"/><Relationship Id="rId51" Type="http://schemas.openxmlformats.org/officeDocument/2006/relationships/hyperlink" Target="http://es.wikipedia.org/wiki/Biorremediaci%C3%B3n" TargetMode="External"/><Relationship Id="rId72" Type="http://schemas.openxmlformats.org/officeDocument/2006/relationships/hyperlink" Target="http://www.monografias.com/trabajos13/cinemat/cinemat2.shtml" TargetMode="External"/><Relationship Id="rId80" Type="http://schemas.openxmlformats.org/officeDocument/2006/relationships/image" Target="media/image8.jpeg"/><Relationship Id="rId85" Type="http://schemas.openxmlformats.org/officeDocument/2006/relationships/image" Target="media/image13.jpeg"/><Relationship Id="rId93" Type="http://schemas.openxmlformats.org/officeDocument/2006/relationships/hyperlink" Target="http://www.derechomaritimo.info/pagina/marpol.htm" TargetMode="External"/><Relationship Id="rId98" Type="http://schemas.openxmlformats.org/officeDocument/2006/relationships/hyperlink" Target="http://www.puertolaunion.gob.sv/?articulo=1000" TargetMode="External"/><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es.wikipedia.org/wiki/Galicia" TargetMode="External"/><Relationship Id="rId17" Type="http://schemas.openxmlformats.org/officeDocument/2006/relationships/hyperlink" Target="http://es.wikipedia.org/wiki/Landas" TargetMode="External"/><Relationship Id="rId25" Type="http://schemas.openxmlformats.org/officeDocument/2006/relationships/hyperlink" Target="http://translate.googleusercontent.com/translate_c?hl=es&amp;sl=en&amp;u=http://en.wikipedia.org/wiki/Captain_(nautical)&amp;prev=/search%3Fq%3Dexxon%2Bvaldez%26hl%3Des%26lr%3D&amp;rurl=translate.google.com.sv&amp;usg=ALkJrhjqD_bNZnht5EtfAE_wxRqnDZuQCA" TargetMode="External"/><Relationship Id="rId33" Type="http://schemas.openxmlformats.org/officeDocument/2006/relationships/hyperlink" Target="http://translate.googleusercontent.com/translate_c?hl=es&amp;sl=en&amp;u=http://en.wikipedia.org/wiki/Exxon_Valdez_oil_spill&amp;prev=/search%3Fq%3Dexxon%2Bvaldez%26hl%3Des%26lr%3D&amp;rurl=translate.google.com.sv&amp;usg=ALkJrhindE9e7hpEuTExASNMDtYCivpTig" TargetMode="External"/><Relationship Id="rId38" Type="http://schemas.openxmlformats.org/officeDocument/2006/relationships/hyperlink" Target="http://www.monografias.com/trabajos4/ueuropea/ueuropea.shtml" TargetMode="External"/><Relationship Id="rId46" Type="http://schemas.openxmlformats.org/officeDocument/2006/relationships/hyperlink" Target="http://translate.googleusercontent.com/translate_c?hl=es&amp;sl=en&amp;u=http://en.wikipedia.org/wiki/Common_Seal&amp;prev=/search%3Fq%3Dexxon%2Bvaldez%26hl%3Des%26lr%3D&amp;rurl=translate.google.com.sv&amp;usg=ALkJrhgu97jsFwuWDs4lyVJdlFscGUZT_w" TargetMode="External"/><Relationship Id="rId59" Type="http://schemas.openxmlformats.org/officeDocument/2006/relationships/hyperlink" Target="http://es.wikipedia.org/wiki/Accidente_de_Chern%C3%B3bil" TargetMode="External"/><Relationship Id="rId67" Type="http://schemas.openxmlformats.org/officeDocument/2006/relationships/hyperlink" Target="http://www.monografias.com/trabajos28/aceptacion-individuo/aceptacion-individuo.shtml" TargetMode="External"/><Relationship Id="rId103" Type="http://schemas.openxmlformats.org/officeDocument/2006/relationships/hyperlink" Target="http://www.nuestroacajutla.com/acajutla.php" TargetMode="External"/><Relationship Id="rId108" Type="http://schemas.openxmlformats.org/officeDocument/2006/relationships/hyperlink" Target="http://www.laprensagrafica.com/economia/nacional/131004-la-llegada-de-la-boussole.html" TargetMode="External"/><Relationship Id="rId116" Type="http://schemas.openxmlformats.org/officeDocument/2006/relationships/hyperlink" Target="http://www.portofrotterdam.com" TargetMode="External"/><Relationship Id="rId20" Type="http://schemas.openxmlformats.org/officeDocument/2006/relationships/hyperlink" Target="http://www.lboro.ac.uk/departments/hu/ergsinhu/aboutergs/lasttrip.html" TargetMode="External"/><Relationship Id="rId41" Type="http://schemas.openxmlformats.org/officeDocument/2006/relationships/hyperlink" Target="http://www.monografias.com/trabajos7/tain/tain.shtml" TargetMode="External"/><Relationship Id="rId54" Type="http://schemas.openxmlformats.org/officeDocument/2006/relationships/hyperlink" Target="http://es.wikipedia.org/w/index.php?title=Centro_Internacional_de_Investigaciones_sobre_Aves&amp;action=edit&amp;redlink=1" TargetMode="External"/><Relationship Id="rId62" Type="http://schemas.openxmlformats.org/officeDocument/2006/relationships/hyperlink" Target="http://www.miliarium.com/Monografias/MareasNegras/normativa/RDLey8-02.asp" TargetMode="External"/><Relationship Id="rId70" Type="http://schemas.openxmlformats.org/officeDocument/2006/relationships/hyperlink" Target="http://www.monografias.com/trabajos36/signos-simbolos/signos-simbolos.shtml" TargetMode="External"/><Relationship Id="rId75" Type="http://schemas.openxmlformats.org/officeDocument/2006/relationships/hyperlink" Target="http://es.wikipedia.org/wiki/Jap&#243;n" TargetMode="External"/><Relationship Id="rId83" Type="http://schemas.openxmlformats.org/officeDocument/2006/relationships/image" Target="media/image11.jpeg"/><Relationship Id="rId88" Type="http://schemas.openxmlformats.org/officeDocument/2006/relationships/hyperlink" Target="http://www.muchapasta.com/b/var/Medidas20Erika.php" TargetMode="External"/><Relationship Id="rId91" Type="http://schemas.openxmlformats.org/officeDocument/2006/relationships/hyperlink" Target="http://www.jornada.unam.mx/ultimas/2010/04/05/derrama-buque-chino-combustible-en-la-gran-barrera-de-coral-en-australia" TargetMode="External"/><Relationship Id="rId96" Type="http://schemas.openxmlformats.org/officeDocument/2006/relationships/hyperlink" Target="http://www.derechomaritimo.info/pagina/prestige.htm" TargetMode="External"/><Relationship Id="rId111" Type="http://schemas.openxmlformats.org/officeDocument/2006/relationships/hyperlink" Target="http://www.miliarium.com/Monografias/MareasNegras/normativa/normativa.asp"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s.wikipedia.org/wiki/Contaminante" TargetMode="External"/><Relationship Id="rId23" Type="http://schemas.openxmlformats.org/officeDocument/2006/relationships/hyperlink" Target="http://translate.googleusercontent.com/translate_c?hl=es&amp;sl=en&amp;u=http://en.wikipedia.org/wiki/Harbor_pilot&amp;prev=/search%3Fq%3Dexxon%2Bvaldez%26hl%3Des%26lr%3D&amp;rurl=translate.google.com.sv&amp;usg=ALkJrhiJpdQLwXDcHYZALJlpIY2FxgqV2w" TargetMode="External"/><Relationship Id="rId28" Type="http://schemas.openxmlformats.org/officeDocument/2006/relationships/hyperlink" Target="http://translate.googleusercontent.com/translate_c?hl=es&amp;sl=en&amp;u=http://en.wikipedia.org/wiki/Gregory_Cousins&amp;prev=/search%3Fq%3Dexxon%2Bvaldez%26hl%3Des%26lr%3D&amp;rurl=translate.google.com.sv&amp;usg=ALkJrhhI_TiFZGAWFdvTrZ_lJ4X92fjWpw" TargetMode="External"/><Relationship Id="rId36" Type="http://schemas.openxmlformats.org/officeDocument/2006/relationships/hyperlink" Target="http://www.monografias.com/trabajos2/mercambiario/mercambiario.shtml" TargetMode="External"/><Relationship Id="rId49" Type="http://schemas.openxmlformats.org/officeDocument/2006/relationships/hyperlink" Target="http://translate.googleusercontent.com/translate_c?hl=es&amp;sl=en&amp;u=http://en.wikipedia.org/wiki/Salmon&amp;prev=/search%3Fq%3Dexxon%2Bvaldez%26hl%3Des%26lr%3D&amp;rurl=translate.google.com.sv&amp;usg=ALkJrhjDt5G5KBk7W-E62Jcpj50-Kr0u3w" TargetMode="External"/><Relationship Id="rId57" Type="http://schemas.openxmlformats.org/officeDocument/2006/relationships/hyperlink" Target="http://es.wikipedia.org/wiki/Accidente_del_Transbordador_espacial_Challenger" TargetMode="External"/><Relationship Id="rId106" Type="http://schemas.openxmlformats.org/officeDocument/2006/relationships/hyperlink" Target="http://comunidad.uem.es/jose-maria-peredo/2010/4/6/la-gran-barrera-coral-australiana-peligro" TargetMode="External"/><Relationship Id="rId114" Type="http://schemas.openxmlformats.org/officeDocument/2006/relationships/hyperlink" Target="http://www.pacificenergypier400.com/indexS.php?id=15" TargetMode="External"/><Relationship Id="rId119" Type="http://schemas.openxmlformats.org/officeDocument/2006/relationships/hyperlink" Target="http://www.cep.unep.org/racrempeitc" TargetMode="External"/><Relationship Id="rId10" Type="http://schemas.openxmlformats.org/officeDocument/2006/relationships/hyperlink" Target="http://www.fenadesal.gob.sv/" TargetMode="External"/><Relationship Id="rId31" Type="http://schemas.openxmlformats.org/officeDocument/2006/relationships/hyperlink" Target="http://translate.googleusercontent.com/translate_c?hl=es&amp;sl=en&amp;u=http://en.wikipedia.org/wiki/United_States_Coast_Guard&amp;prev=/search%3Fq%3Dexxon%2Bvaldez%26hl%3Des%26lr%3D&amp;rurl=translate.google.com.sv&amp;usg=ALkJrhipCMZOO681BAZmfU1IW9EJOSzEsg" TargetMode="External"/><Relationship Id="rId44" Type="http://schemas.openxmlformats.org/officeDocument/2006/relationships/hyperlink" Target="http://translate.googleusercontent.com/translate_c?hl=es&amp;sl=en&amp;u=http://en.wikipedia.org/wiki/Sea_otter&amp;prev=/search%3Fq%3Dexxon%2Bvaldez%26hl%3Des%26lr%3D&amp;rurl=translate.google.com.sv&amp;usg=ALkJrhgIndJj_Zh5QoNi6VyxphvnmtVrPA" TargetMode="External"/><Relationship Id="rId52" Type="http://schemas.openxmlformats.org/officeDocument/2006/relationships/hyperlink" Target="http://es.wikipedia.org/wiki/NOAA" TargetMode="External"/><Relationship Id="rId60" Type="http://schemas.openxmlformats.org/officeDocument/2006/relationships/hyperlink" Target="http://www.miliarium.com/Monografias/MareasNegras/normativa/RD1220-02.asp" TargetMode="External"/><Relationship Id="rId65" Type="http://schemas.openxmlformats.org/officeDocument/2006/relationships/hyperlink" Target="http://www.monografias.com/trabajos7/mafu/mafu.shtml" TargetMode="External"/><Relationship Id="rId73" Type="http://schemas.openxmlformats.org/officeDocument/2006/relationships/hyperlink" Target="http://www.monografias.com/trabajos/conducta/conducta.shtml" TargetMode="External"/><Relationship Id="rId78" Type="http://schemas.openxmlformats.org/officeDocument/2006/relationships/chart" Target="charts/chart1.xml"/><Relationship Id="rId81" Type="http://schemas.openxmlformats.org/officeDocument/2006/relationships/image" Target="media/image9.jpeg"/><Relationship Id="rId86" Type="http://schemas.openxmlformats.org/officeDocument/2006/relationships/image" Target="media/image14.jpeg"/><Relationship Id="rId94" Type="http://schemas.openxmlformats.org/officeDocument/2006/relationships/hyperlink" Target="http://www.greenpeace.org/international/news/exxon-valdez-disaster-15" TargetMode="External"/><Relationship Id="rId99" Type="http://schemas.openxmlformats.org/officeDocument/2006/relationships/hyperlink" Target="http://www.elpuertodelaunion.com" TargetMode="External"/><Relationship Id="rId101" Type="http://schemas.openxmlformats.org/officeDocument/2006/relationships/hyperlink" Target="http://www.entornointeligente.com" TargetMode="External"/><Relationship Id="rId12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hyperlink" Target="http://es.wikipedia.org/wiki/Marea_negra" TargetMode="External"/><Relationship Id="rId18" Type="http://schemas.openxmlformats.org/officeDocument/2006/relationships/hyperlink" Target="http://es.wikipedia.org/wiki/Francia" TargetMode="External"/><Relationship Id="rId39" Type="http://schemas.openxmlformats.org/officeDocument/2006/relationships/hyperlink" Target="http://www.monografias.com/trabajos11/fuper/fuper.shtml" TargetMode="External"/><Relationship Id="rId109" Type="http://schemas.openxmlformats.org/officeDocument/2006/relationships/hyperlink" Target="http://www.merida.gob.mx/observatorio/noticias/abril10/dia05.html" TargetMode="External"/><Relationship Id="rId34" Type="http://schemas.openxmlformats.org/officeDocument/2006/relationships/hyperlink" Target="http://translate.googleusercontent.com/translate_c?hl=es&amp;sl=en&amp;u=http://en.wikipedia.org/wiki/Bligh_Reef&amp;prev=/search%3Fq%3Dexxon%2Bvaldez%26hl%3Des%26lr%3D&amp;rurl=translate.google.com.sv&amp;usg=ALkJrhhroiifyWIdmnxdKg9tYU7WZipEMQ" TargetMode="External"/><Relationship Id="rId50" Type="http://schemas.openxmlformats.org/officeDocument/2006/relationships/hyperlink" Target="http://es.wikipedia.org/wiki/EPA" TargetMode="External"/><Relationship Id="rId55" Type="http://schemas.openxmlformats.org/officeDocument/2006/relationships/hyperlink" Target="http://es.wikipedia.org/wiki/Berkeley" TargetMode="External"/><Relationship Id="rId76" Type="http://schemas.openxmlformats.org/officeDocument/2006/relationships/image" Target="media/image5.emf"/><Relationship Id="rId97" Type="http://schemas.openxmlformats.org/officeDocument/2006/relationships/hyperlink" Target="http://www.derechomaritimo.com.ve" TargetMode="External"/><Relationship Id="rId104" Type="http://schemas.openxmlformats.org/officeDocument/2006/relationships/hyperlink" Target="http://www.cepa.gob.sv/contenido.php?cont=16&amp;id=8" TargetMode="External"/><Relationship Id="rId120" Type="http://schemas.openxmlformats.org/officeDocument/2006/relationships/hyperlink" Target="http://www.unctad.org" TargetMode="External"/><Relationship Id="rId7" Type="http://schemas.openxmlformats.org/officeDocument/2006/relationships/endnotes" Target="endnotes.xml"/><Relationship Id="rId71" Type="http://schemas.openxmlformats.org/officeDocument/2006/relationships/hyperlink" Target="http://www.monografias.com/trabajos7/zocli/zocli.shtml" TargetMode="External"/><Relationship Id="rId92" Type="http://schemas.openxmlformats.org/officeDocument/2006/relationships/hyperlink" Target="http://www.ismshipping.com/espanol/articles/2001/stcw95-1.htm" TargetMode="External"/><Relationship Id="rId2" Type="http://schemas.openxmlformats.org/officeDocument/2006/relationships/numbering" Target="numbering.xml"/><Relationship Id="rId29" Type="http://schemas.openxmlformats.org/officeDocument/2006/relationships/hyperlink" Target="http://translate.googleusercontent.com/translate_c?hl=es&amp;sl=en&amp;u=http://en.wikipedia.org/wiki/Able_Seaman_(occupation)&amp;prev=/search%3Fq%3Dexxon%2Bvaldez%26hl%3Des%26lr%3D&amp;rurl=translate.google.com.sv&amp;usg=ALkJrhjsJsSO2pu7pEHzSGCK6X_y1KT1pw" TargetMode="External"/><Relationship Id="rId24" Type="http://schemas.openxmlformats.org/officeDocument/2006/relationships/hyperlink" Target="http://translate.googleusercontent.com/translate_c?hl=es&amp;sl=en&amp;u=http://en.wikipedia.org/wiki/Joseph_Hazelwood&amp;prev=/search%3Fq%3Dexxon%2Bvaldez%26hl%3Des%26lr%3D&amp;rurl=translate.google.com.sv&amp;usg=ALkJrhijx3c8s4Tvgw_OiKUipeGS0bqmPQ" TargetMode="External"/><Relationship Id="rId40" Type="http://schemas.openxmlformats.org/officeDocument/2006/relationships/hyperlink" Target="http://www.monografias.com/trabajos14/verific-servicios/verific-servicios.shtml" TargetMode="External"/><Relationship Id="rId45" Type="http://schemas.openxmlformats.org/officeDocument/2006/relationships/hyperlink" Target="http://translate.googleusercontent.com/translate_c?hl=es&amp;sl=en&amp;u=http://en.wikipedia.org/wiki/North_American_River_Otter&amp;prev=/search%3Fq%3Dexxon%2Bvaldez%26hl%3Des%26lr%3D&amp;rurl=translate.google.com.sv&amp;usg=ALkJrhjiinfG_Fgjezv5F2rnA9fyc_2c0A" TargetMode="External"/><Relationship Id="rId66" Type="http://schemas.openxmlformats.org/officeDocument/2006/relationships/hyperlink" Target="http://www.eagle.org/news/press/nov202002.html" TargetMode="External"/><Relationship Id="rId87" Type="http://schemas.openxmlformats.org/officeDocument/2006/relationships/image" Target="media/image15.jpeg"/><Relationship Id="rId110" Type="http://schemas.openxmlformats.org/officeDocument/2006/relationships/hyperlink" Target="http://www.puertolaunion.gob.sv/noticias.php?articulo=1188" TargetMode="External"/><Relationship Id="rId115" Type="http://schemas.openxmlformats.org/officeDocument/2006/relationships/hyperlink" Target="http://cscmp.org/"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es.wikipedia.org/wiki/Erosi%C3%B3n" TargetMode="External"/><Relationship Id="rId3" Type="http://schemas.openxmlformats.org/officeDocument/2006/relationships/hyperlink" Target="http://www.entornointeligente.com" TargetMode="External"/><Relationship Id="rId7" Type="http://schemas.openxmlformats.org/officeDocument/2006/relationships/hyperlink" Target="http://es.wikipedia.org/wiki/Costa" TargetMode="External"/><Relationship Id="rId2" Type="http://schemas.openxmlformats.org/officeDocument/2006/relationships/hyperlink" Target="http://es.wikipedia.org/wiki/Estados_Unidos" TargetMode="External"/><Relationship Id="rId1" Type="http://schemas.openxmlformats.org/officeDocument/2006/relationships/hyperlink" Target="http://es.wikipedia.org/wiki/Idioma_ingl%C3%A9s" TargetMode="External"/><Relationship Id="rId6" Type="http://schemas.openxmlformats.org/officeDocument/2006/relationships/hyperlink" Target="http://es.wikipedia.org/wiki/Mar" TargetMode="External"/><Relationship Id="rId11" Type="http://schemas.openxmlformats.org/officeDocument/2006/relationships/hyperlink" Target="http://es.wikipedia.org/wiki/Cueva" TargetMode="External"/><Relationship Id="rId5" Type="http://schemas.openxmlformats.org/officeDocument/2006/relationships/hyperlink" Target="http://es.wikipedia.org/wiki/Roca" TargetMode="External"/><Relationship Id="rId10" Type="http://schemas.openxmlformats.org/officeDocument/2006/relationships/hyperlink" Target="http://es.wikipedia.org/wiki/Acantilado" TargetMode="External"/><Relationship Id="rId4" Type="http://schemas.openxmlformats.org/officeDocument/2006/relationships/hyperlink" Target="http://es.wikipedia.org/wiki/Promontorio" TargetMode="External"/><Relationship Id="rId9" Type="http://schemas.openxmlformats.org/officeDocument/2006/relationships/hyperlink" Target="http://es.wikipedia.org/wiki/Ola"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spPr>
        <a:noFill/>
        <a:ln w="25399">
          <a:noFill/>
        </a:ln>
      </c:spPr>
    </c:title>
    <c:view3D>
      <c:rotX val="30"/>
      <c:perspective val="30"/>
    </c:view3D>
    <c:plotArea>
      <c:layout>
        <c:manualLayout>
          <c:layoutTarget val="inner"/>
          <c:xMode val="edge"/>
          <c:yMode val="edge"/>
          <c:x val="5.9352517985611752E-2"/>
          <c:y val="0.25075528700906347"/>
          <c:w val="0.64388489208633215"/>
          <c:h val="0.67371601208459519"/>
        </c:manualLayout>
      </c:layout>
      <c:pie3DChart>
        <c:varyColors val="1"/>
        <c:ser>
          <c:idx val="0"/>
          <c:order val="0"/>
          <c:tx>
            <c:strRef>
              <c:f>Hoja1!$B$1</c:f>
              <c:strCache>
                <c:ptCount val="1"/>
                <c:pt idx="0">
                  <c:v>Buques por Tipos en los Puertos del Istmo Centroamericano 2008</c:v>
                </c:pt>
              </c:strCache>
            </c:strRef>
          </c:tx>
          <c:explosion val="25"/>
          <c:cat>
            <c:strRef>
              <c:f>Hoja1!$A$2:$A$12</c:f>
              <c:strCache>
                <c:ptCount val="11"/>
                <c:pt idx="0">
                  <c:v>Portacontenedor</c:v>
                </c:pt>
                <c:pt idx="1">
                  <c:v>Frigorifico</c:v>
                </c:pt>
                <c:pt idx="2">
                  <c:v>Ro Ro</c:v>
                </c:pt>
                <c:pt idx="3">
                  <c:v>Granel Solido</c:v>
                </c:pt>
                <c:pt idx="4">
                  <c:v>Granel Liquido</c:v>
                </c:pt>
                <c:pt idx="5">
                  <c:v>Petrolero</c:v>
                </c:pt>
                <c:pt idx="6">
                  <c:v>Gasero</c:v>
                </c:pt>
                <c:pt idx="7">
                  <c:v>Barcanza</c:v>
                </c:pt>
                <c:pt idx="8">
                  <c:v>Cruceros</c:v>
                </c:pt>
                <c:pt idx="9">
                  <c:v>Otros</c:v>
                </c:pt>
                <c:pt idx="10">
                  <c:v>Convencional</c:v>
                </c:pt>
              </c:strCache>
            </c:strRef>
          </c:cat>
          <c:val>
            <c:numRef>
              <c:f>Hoja1!$B$2:$B$12</c:f>
              <c:numCache>
                <c:formatCode>General</c:formatCode>
                <c:ptCount val="11"/>
                <c:pt idx="0">
                  <c:v>51</c:v>
                </c:pt>
                <c:pt idx="1">
                  <c:v>8</c:v>
                </c:pt>
                <c:pt idx="2">
                  <c:v>9</c:v>
                </c:pt>
                <c:pt idx="3">
                  <c:v>3</c:v>
                </c:pt>
                <c:pt idx="4">
                  <c:v>5</c:v>
                </c:pt>
                <c:pt idx="5">
                  <c:v>5</c:v>
                </c:pt>
                <c:pt idx="6">
                  <c:v>1</c:v>
                </c:pt>
                <c:pt idx="7">
                  <c:v>3</c:v>
                </c:pt>
                <c:pt idx="8">
                  <c:v>5</c:v>
                </c:pt>
                <c:pt idx="9">
                  <c:v>1</c:v>
                </c:pt>
                <c:pt idx="10">
                  <c:v>9</c:v>
                </c:pt>
              </c:numCache>
            </c:numRef>
          </c:val>
        </c:ser>
      </c:pie3DChart>
      <c:spPr>
        <a:noFill/>
        <a:ln w="25399">
          <a:noFill/>
        </a:ln>
      </c:spPr>
    </c:plotArea>
    <c:legend>
      <c:legendPos val="r"/>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389F47-B523-4594-8FA9-ED111EC65A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179</Pages>
  <Words>54485</Words>
  <Characters>299673</Characters>
  <Application>Microsoft Office Word</Application>
  <DocSecurity>0</DocSecurity>
  <Lines>2497</Lines>
  <Paragraphs>706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353452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nathalie</dc:creator>
  <cp:keywords/>
  <dc:description/>
  <cp:lastModifiedBy>Digitalizacion</cp:lastModifiedBy>
  <cp:revision>2</cp:revision>
  <cp:lastPrinted>2010-09-17T17:36:00Z</cp:lastPrinted>
  <dcterms:created xsi:type="dcterms:W3CDTF">2010-09-17T20:58:00Z</dcterms:created>
  <dcterms:modified xsi:type="dcterms:W3CDTF">2010-09-17T20:58:00Z</dcterms:modified>
</cp:coreProperties>
</file>