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A98FF" w14:textId="77777777" w:rsidR="003E3E5F" w:rsidRDefault="003E3E5F" w:rsidP="00270C61">
      <w:pPr>
        <w:jc w:val="both"/>
        <w:rPr>
          <w:rFonts w:ascii="Arial" w:hAnsi="Arial" w:cs="Arial"/>
          <w:sz w:val="24"/>
          <w:szCs w:val="24"/>
        </w:rPr>
      </w:pPr>
    </w:p>
    <w:p w14:paraId="266877A6" w14:textId="7A6CDA2B" w:rsidR="00A04A2D" w:rsidRPr="00270C61" w:rsidRDefault="00270C61" w:rsidP="00270C61">
      <w:pPr>
        <w:jc w:val="both"/>
        <w:rPr>
          <w:rFonts w:ascii="Arial" w:hAnsi="Arial" w:cs="Arial"/>
          <w:sz w:val="24"/>
          <w:szCs w:val="24"/>
        </w:rPr>
      </w:pPr>
      <w:r w:rsidRPr="00270C61">
        <w:rPr>
          <w:rFonts w:ascii="Arial" w:hAnsi="Arial" w:cs="Arial"/>
          <w:sz w:val="24"/>
          <w:szCs w:val="24"/>
        </w:rPr>
        <w:t xml:space="preserve">Propuesta de un manual de transición a </w:t>
      </w:r>
      <w:r w:rsidR="00A04A2D" w:rsidRPr="00270C61">
        <w:rPr>
          <w:rFonts w:ascii="Arial" w:hAnsi="Arial" w:cs="Arial"/>
          <w:sz w:val="24"/>
          <w:szCs w:val="24"/>
        </w:rPr>
        <w:t xml:space="preserve">NIIF PYMES, </w:t>
      </w:r>
      <w:r w:rsidRPr="00270C61">
        <w:rPr>
          <w:rFonts w:ascii="Arial" w:hAnsi="Arial" w:cs="Arial"/>
          <w:sz w:val="24"/>
          <w:szCs w:val="24"/>
        </w:rPr>
        <w:t xml:space="preserve">aplicable al sector servicios, dedicado al </w:t>
      </w:r>
      <w:r w:rsidR="00C46B8E" w:rsidRPr="00270C61">
        <w:rPr>
          <w:rFonts w:ascii="Arial" w:hAnsi="Arial" w:cs="Arial"/>
          <w:sz w:val="24"/>
          <w:szCs w:val="24"/>
        </w:rPr>
        <w:t xml:space="preserve">transporte público de pasajeros, en el Municipio de </w:t>
      </w:r>
      <w:r w:rsidR="00A04A2D" w:rsidRPr="00270C61">
        <w:rPr>
          <w:rFonts w:ascii="Arial" w:hAnsi="Arial" w:cs="Arial"/>
          <w:sz w:val="24"/>
          <w:szCs w:val="24"/>
        </w:rPr>
        <w:t>S</w:t>
      </w:r>
      <w:r w:rsidR="00C46B8E" w:rsidRPr="00270C61">
        <w:rPr>
          <w:rFonts w:ascii="Arial" w:hAnsi="Arial" w:cs="Arial"/>
          <w:sz w:val="24"/>
          <w:szCs w:val="24"/>
        </w:rPr>
        <w:t xml:space="preserve">anta </w:t>
      </w:r>
      <w:r w:rsidR="00A04A2D" w:rsidRPr="00270C61">
        <w:rPr>
          <w:rFonts w:ascii="Arial" w:hAnsi="Arial" w:cs="Arial"/>
          <w:sz w:val="24"/>
          <w:szCs w:val="24"/>
        </w:rPr>
        <w:t>A</w:t>
      </w:r>
      <w:r w:rsidR="00C46B8E" w:rsidRPr="00270C61">
        <w:rPr>
          <w:rFonts w:ascii="Arial" w:hAnsi="Arial" w:cs="Arial"/>
          <w:sz w:val="24"/>
          <w:szCs w:val="24"/>
        </w:rPr>
        <w:t>na</w:t>
      </w:r>
      <w:r w:rsidR="00A04A2D" w:rsidRPr="00270C61">
        <w:rPr>
          <w:rFonts w:ascii="Arial" w:hAnsi="Arial" w:cs="Arial"/>
          <w:sz w:val="24"/>
          <w:szCs w:val="24"/>
        </w:rPr>
        <w:t>.</w:t>
      </w:r>
    </w:p>
    <w:p w14:paraId="351E1A07" w14:textId="5ED93EAE" w:rsidR="00A04A2D" w:rsidRPr="00270C61" w:rsidRDefault="00A04A2D" w:rsidP="00270C61">
      <w:pPr>
        <w:jc w:val="both"/>
        <w:rPr>
          <w:rFonts w:ascii="Arial" w:hAnsi="Arial" w:cs="Arial"/>
          <w:sz w:val="24"/>
          <w:szCs w:val="24"/>
        </w:rPr>
      </w:pPr>
    </w:p>
    <w:p w14:paraId="4F4685A2" w14:textId="7D8B6996" w:rsidR="00A04A2D" w:rsidRPr="00270C61" w:rsidRDefault="00270C61" w:rsidP="00270C61">
      <w:pPr>
        <w:jc w:val="both"/>
        <w:rPr>
          <w:rFonts w:ascii="Arial" w:hAnsi="Arial" w:cs="Arial"/>
          <w:sz w:val="24"/>
          <w:szCs w:val="24"/>
        </w:rPr>
      </w:pPr>
      <w:r w:rsidRPr="00270C61">
        <w:rPr>
          <w:rFonts w:ascii="Arial" w:hAnsi="Arial" w:cs="Arial"/>
          <w:sz w:val="24"/>
          <w:szCs w:val="24"/>
        </w:rPr>
        <w:t>La contabilidad es una rama que está en constante movimiento, para lograr la adaptación y adecuación de la misma ante los cambios económicos, tributarios y tecnológicos que exigen la modernización y actualización de la profesión se crean nuevas normativas, que permiten garantizar el mejor desarrollo de las actividades realizadas en las entidades comerciales, industriales y de servicios. Las Normas Internacionales de Contabilidad son la normativa base para la contabilidad a nivel internacional, con el objetivo de dar estandarización a la información financiera el Consejo de Vigilancia de la Profesión de Contaduría Pública y Auditoría</w:t>
      </w:r>
    </w:p>
    <w:p w14:paraId="02FF0FF8" w14:textId="0E145525" w:rsidR="00A04A2D" w:rsidRPr="00270C61" w:rsidRDefault="00A04A2D" w:rsidP="00270C61">
      <w:pPr>
        <w:jc w:val="both"/>
        <w:rPr>
          <w:rFonts w:ascii="Arial" w:hAnsi="Arial" w:cs="Arial"/>
          <w:sz w:val="24"/>
          <w:szCs w:val="24"/>
        </w:rPr>
      </w:pPr>
    </w:p>
    <w:p w14:paraId="11E4B89F" w14:textId="05D54A68" w:rsidR="00270C61" w:rsidRPr="00270C61" w:rsidRDefault="00C46B8E" w:rsidP="00270C61">
      <w:pPr>
        <w:jc w:val="both"/>
        <w:rPr>
          <w:rFonts w:ascii="Arial" w:hAnsi="Arial" w:cs="Arial"/>
          <w:sz w:val="24"/>
          <w:szCs w:val="24"/>
        </w:rPr>
      </w:pPr>
      <w:r w:rsidRPr="00270C61">
        <w:rPr>
          <w:rFonts w:ascii="Arial" w:hAnsi="Arial" w:cs="Arial"/>
          <w:sz w:val="24"/>
          <w:szCs w:val="24"/>
        </w:rPr>
        <w:t>Torres Tobar</w:t>
      </w:r>
      <w:r>
        <w:rPr>
          <w:rFonts w:ascii="Arial" w:hAnsi="Arial" w:cs="Arial"/>
          <w:sz w:val="24"/>
          <w:szCs w:val="24"/>
        </w:rPr>
        <w:t>,</w:t>
      </w:r>
      <w:r w:rsidRPr="00270C61">
        <w:rPr>
          <w:rFonts w:ascii="Arial" w:hAnsi="Arial" w:cs="Arial"/>
          <w:sz w:val="24"/>
          <w:szCs w:val="24"/>
        </w:rPr>
        <w:t xml:space="preserve"> </w:t>
      </w:r>
      <w:r w:rsidRPr="00270C61">
        <w:rPr>
          <w:rFonts w:ascii="Arial" w:hAnsi="Arial" w:cs="Arial"/>
          <w:sz w:val="24"/>
          <w:szCs w:val="24"/>
        </w:rPr>
        <w:t>Kenia Jazmín</w:t>
      </w:r>
    </w:p>
    <w:p w14:paraId="130B21C2" w14:textId="7B7CF1F2" w:rsidR="00270C61" w:rsidRPr="00270C61" w:rsidRDefault="00C46B8E" w:rsidP="00270C61">
      <w:pPr>
        <w:jc w:val="both"/>
        <w:rPr>
          <w:rFonts w:ascii="Arial" w:hAnsi="Arial" w:cs="Arial"/>
          <w:sz w:val="24"/>
          <w:szCs w:val="24"/>
        </w:rPr>
      </w:pPr>
      <w:r w:rsidRPr="00270C61">
        <w:rPr>
          <w:rFonts w:ascii="Arial" w:hAnsi="Arial" w:cs="Arial"/>
          <w:sz w:val="24"/>
          <w:szCs w:val="24"/>
        </w:rPr>
        <w:t>González Torres</w:t>
      </w:r>
      <w:r>
        <w:rPr>
          <w:rFonts w:ascii="Arial" w:hAnsi="Arial" w:cs="Arial"/>
          <w:sz w:val="24"/>
          <w:szCs w:val="24"/>
        </w:rPr>
        <w:t>,</w:t>
      </w:r>
      <w:r w:rsidRPr="00C46B8E">
        <w:rPr>
          <w:rFonts w:ascii="Arial" w:hAnsi="Arial" w:cs="Arial"/>
          <w:sz w:val="24"/>
          <w:szCs w:val="24"/>
        </w:rPr>
        <w:t xml:space="preserve"> </w:t>
      </w:r>
      <w:r w:rsidRPr="00270C61">
        <w:rPr>
          <w:rFonts w:ascii="Arial" w:hAnsi="Arial" w:cs="Arial"/>
          <w:sz w:val="24"/>
          <w:szCs w:val="24"/>
        </w:rPr>
        <w:t>Claudia Beatriz</w:t>
      </w:r>
    </w:p>
    <w:p w14:paraId="5B73E3B6" w14:textId="66D9C04C" w:rsidR="00A04A2D" w:rsidRPr="00270C61" w:rsidRDefault="00C46B8E" w:rsidP="00270C61">
      <w:pPr>
        <w:jc w:val="both"/>
        <w:rPr>
          <w:rFonts w:ascii="Arial" w:hAnsi="Arial" w:cs="Arial"/>
          <w:sz w:val="24"/>
          <w:szCs w:val="24"/>
        </w:rPr>
      </w:pPr>
      <w:r w:rsidRPr="00270C61">
        <w:rPr>
          <w:rFonts w:ascii="Arial" w:hAnsi="Arial" w:cs="Arial"/>
          <w:sz w:val="24"/>
          <w:szCs w:val="24"/>
        </w:rPr>
        <w:t xml:space="preserve"> Morales Medina</w:t>
      </w:r>
      <w:r>
        <w:rPr>
          <w:rFonts w:ascii="Arial" w:hAnsi="Arial" w:cs="Arial"/>
          <w:sz w:val="24"/>
          <w:szCs w:val="24"/>
        </w:rPr>
        <w:t>,</w:t>
      </w:r>
      <w:r w:rsidRPr="00C46B8E">
        <w:rPr>
          <w:rFonts w:ascii="Arial" w:hAnsi="Arial" w:cs="Arial"/>
          <w:sz w:val="24"/>
          <w:szCs w:val="24"/>
        </w:rPr>
        <w:t xml:space="preserve"> </w:t>
      </w:r>
      <w:r w:rsidRPr="00270C61">
        <w:rPr>
          <w:rFonts w:ascii="Arial" w:hAnsi="Arial" w:cs="Arial"/>
          <w:sz w:val="24"/>
          <w:szCs w:val="24"/>
        </w:rPr>
        <w:t>William Eduardo</w:t>
      </w:r>
    </w:p>
    <w:p w14:paraId="144F7844" w14:textId="47C58A6A" w:rsidR="00270C61" w:rsidRPr="00270C61" w:rsidRDefault="00270C61" w:rsidP="00270C61">
      <w:pPr>
        <w:jc w:val="both"/>
        <w:rPr>
          <w:rFonts w:ascii="Arial" w:hAnsi="Arial" w:cs="Arial"/>
          <w:sz w:val="24"/>
          <w:szCs w:val="24"/>
        </w:rPr>
      </w:pPr>
    </w:p>
    <w:p w14:paraId="005BE9D1" w14:textId="4FD12B99" w:rsidR="00270C61" w:rsidRPr="00270C61" w:rsidRDefault="00270C61" w:rsidP="00270C61">
      <w:pPr>
        <w:jc w:val="both"/>
        <w:rPr>
          <w:rFonts w:ascii="Arial" w:hAnsi="Arial" w:cs="Arial"/>
          <w:sz w:val="24"/>
          <w:szCs w:val="24"/>
        </w:rPr>
      </w:pPr>
      <w:r w:rsidRPr="00270C61">
        <w:rPr>
          <w:rFonts w:ascii="Arial" w:hAnsi="Arial" w:cs="Arial"/>
          <w:sz w:val="24"/>
          <w:szCs w:val="24"/>
        </w:rPr>
        <w:t>LICENCIATURA EN CONTADURÍA PÚBLICA</w:t>
      </w:r>
      <w:r w:rsidRPr="00270C61">
        <w:rPr>
          <w:rFonts w:ascii="Arial" w:hAnsi="Arial" w:cs="Arial"/>
          <w:sz w:val="24"/>
          <w:szCs w:val="24"/>
        </w:rPr>
        <w:t xml:space="preserve">, </w:t>
      </w:r>
      <w:r w:rsidRPr="00270C61">
        <w:rPr>
          <w:rFonts w:ascii="Arial" w:hAnsi="Arial" w:cs="Arial"/>
          <w:sz w:val="24"/>
          <w:szCs w:val="24"/>
        </w:rPr>
        <w:t>2016</w:t>
      </w:r>
    </w:p>
    <w:sectPr w:rsidR="00270C61" w:rsidRPr="00270C6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6F0"/>
    <w:rsid w:val="00132635"/>
    <w:rsid w:val="00270C61"/>
    <w:rsid w:val="003E3E5F"/>
    <w:rsid w:val="00A04A2D"/>
    <w:rsid w:val="00C46B8E"/>
    <w:rsid w:val="00EF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078B1"/>
  <w15:chartTrackingRefBased/>
  <w15:docId w15:val="{D13D9E1A-B154-45DA-8654-80CFFB267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02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2023-03-17T02:00:00Z</dcterms:created>
  <dcterms:modified xsi:type="dcterms:W3CDTF">2023-03-17T02:32:00Z</dcterms:modified>
</cp:coreProperties>
</file>